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150" w:line="600" w:lineRule="atLeast"/>
        <w:jc w:val="left"/>
        <w:outlineLvl w:val="0"/>
        <w:rPr>
          <w:rFonts w:ascii="Segoe UI" w:eastAsia="굴림" w:hAnsi="Segoe UI" w:cs="Segoe UI"/>
          <w:color w:val="481659"/>
          <w:kern w:val="36"/>
          <w:sz w:val="47"/>
          <w:szCs w:val="47"/>
        </w:rPr>
      </w:pPr>
      <w:proofErr w:type="gramStart"/>
      <w:r w:rsidRPr="00DB6F8F">
        <w:rPr>
          <w:rFonts w:ascii="Segoe UI" w:eastAsia="굴림" w:hAnsi="Segoe UI" w:cs="Segoe UI"/>
          <w:color w:val="481659"/>
          <w:kern w:val="36"/>
          <w:sz w:val="47"/>
          <w:szCs w:val="47"/>
        </w:rPr>
        <w:t>263/2015 Z. z.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Fonts w:ascii="Segoe UI" w:eastAsia="굴림" w:hAnsi="Segoe UI" w:cs="Segoe UI"/>
          <w:b/>
          <w:bCs/>
          <w:color w:val="555555"/>
          <w:kern w:val="0"/>
          <w:sz w:val="26"/>
          <w:szCs w:val="26"/>
        </w:rPr>
      </w:pPr>
      <w:r w:rsidRPr="00DB6F8F">
        <w:rPr>
          <w:rFonts w:ascii="Segoe UI" w:eastAsia="굴림" w:hAnsi="Segoe UI" w:cs="Segoe UI"/>
          <w:b/>
          <w:bCs/>
          <w:color w:val="555555"/>
          <w:kern w:val="0"/>
          <w:sz w:val="26"/>
          <w:szCs w:val="26"/>
        </w:rPr>
        <w:t xml:space="preserve">Časová verzia predpisu účinná </w:t>
      </w:r>
      <w:proofErr w:type="gramStart"/>
      <w:r w:rsidRPr="00DB6F8F">
        <w:rPr>
          <w:rFonts w:ascii="Segoe UI" w:eastAsia="굴림" w:hAnsi="Segoe UI" w:cs="Segoe UI"/>
          <w:b/>
          <w:bCs/>
          <w:color w:val="555555"/>
          <w:kern w:val="0"/>
          <w:sz w:val="26"/>
          <w:szCs w:val="26"/>
        </w:rPr>
        <w:t>od</w:t>
      </w:r>
      <w:proofErr w:type="gramEnd"/>
      <w:r w:rsidRPr="00DB6F8F">
        <w:rPr>
          <w:rFonts w:ascii="Segoe UI" w:eastAsia="굴림" w:hAnsi="Segoe UI" w:cs="Segoe UI"/>
          <w:b/>
          <w:bCs/>
          <w:color w:val="555555"/>
          <w:kern w:val="0"/>
          <w:sz w:val="26"/>
          <w:szCs w:val="26"/>
        </w:rPr>
        <w:t xml:space="preserve"> 01.12.2015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before="150" w:after="150" w:line="600" w:lineRule="atLeast"/>
        <w:jc w:val="left"/>
        <w:outlineLvl w:val="2"/>
        <w:rPr>
          <w:rFonts w:ascii="Segoe UI" w:eastAsia="굴림" w:hAnsi="Segoe UI" w:cs="Segoe UI"/>
          <w:color w:val="494949"/>
          <w:kern w:val="0"/>
          <w:sz w:val="17"/>
          <w:szCs w:val="17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17"/>
          <w:szCs w:val="17"/>
        </w:rPr>
        <w:t>Obsah zobrazeného právneho predpisu má informatívny charakter.</w:t>
      </w:r>
      <w:bookmarkStart w:id="0" w:name="_GoBack"/>
      <w:bookmarkEnd w:id="0"/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5F1675"/>
          <w:kern w:val="0"/>
          <w:sz w:val="35"/>
          <w:szCs w:val="35"/>
        </w:rPr>
      </w:pPr>
      <w:r w:rsidRPr="00DB6F8F">
        <w:rPr>
          <w:rFonts w:ascii="Segoe UI" w:eastAsia="굴림" w:hAnsi="Segoe UI" w:cs="Segoe UI"/>
          <w:color w:val="5F1675"/>
          <w:kern w:val="0"/>
          <w:sz w:val="35"/>
          <w:szCs w:val="35"/>
        </w:rPr>
        <w:t>263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ZÁKON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10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24.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septembra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2015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proofErr w:type="gramStart"/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o</w:t>
      </w:r>
      <w:proofErr w:type="gramEnd"/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 xml:space="preserve"> pôsobnosti pre oblasť prístupu ku genetickým zdrojom a využívania prínosov vyplývajúcich z ich používania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Národná rada Slovenskej republiky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uzniesla na tomto zákone: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1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Predmet úpravy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Tento zákon upravuje pre oblasť dodržiavania podmienok prístupu ku genetickým zdrojom</w:t>
      </w:r>
      <w:hyperlink r:id="rId5" w:anchor="poznamky.poznamka-1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 tradičným poznatkom súvisiacich s genetickými zdrojmi</w:t>
      </w:r>
      <w:hyperlink r:id="rId6" w:anchor="poznamky.poznamka-2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 využívania prínosov vyplývajúcich z ich používania podľa osobitného predpisu</w:t>
      </w:r>
      <w:hyperlink r:id="rId7" w:anchor="poznamky.poznamka-3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3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(ďalej len „oblasť využívania genetických zdrojov“) s cieľom prispieť k zachovaniu biologickej diverzity a trvalo udržateľnému využívaniu jej zložiek</w:t>
      </w:r>
      <w:hyperlink r:id="rId8" w:anchor="poznamky.poznamka-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4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pôsobnosť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orgánov štátnej správy a pôsobnosť právnických osôb podľa </w:t>
      </w:r>
      <w:hyperlink r:id="rId9" w:anchor="paragraf-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§ 8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zodpovednosť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za porušenie povinností.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2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Ministerstvo životného prostredia Slovenskej republiky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Ministerstvo životného prostredia Slovenskej republiky (ďalej len „ministerstvo“)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riadi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výkon štátnej správy v oblasti využívania genetických zdrojov a určuje hlavné smery tejto činnosti,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posudzuje zaradenie zbierky</w:t>
      </w:r>
      <w:hyperlink r:id="rId10" w:anchor="poznamky.poznamka-5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5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alebo jej časti do registra zbierok v rámci Európskej únie postupom podľa osobitného predpisu</w:t>
      </w:r>
      <w:hyperlink r:id="rId11" w:anchor="poznamky.poznamka-6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6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 oznamuje Európskej komisii (ďalej len „Komisia“) názov a kontaktné údaje pre zbierku, jej vlastníka a druh zbierky,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informuje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Komisiu o nesplnení kritérií na zaradenie zbierky alebo jej časti do registra zbierok v rámci Európskej únie podľa osobitného predpisu,</w:t>
      </w:r>
      <w:hyperlink r:id="rId12" w:anchor="poznamky.poznamka-7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7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d)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prijíma vyhlásenia a informácie za podmienok a spôsobom podľa osobitného predpisu,</w:t>
      </w:r>
      <w:hyperlink r:id="rId13" w:anchor="poznamky.poznamka-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8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ak na ich prijímanie nie sú príslušné iné orgány alebo právnické osoby podľa tohto zákona, a vo vzťahu k prijatým vyhláseniam a informáciám plní informačnú povinnosť,</w:t>
      </w:r>
      <w:hyperlink r:id="rId14" w:anchor="poznamky.poznamka-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e)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lastRenderedPageBreak/>
        <w:t>spolupracuje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s Komisiou a ďalšími subjektmi v rozsahu ustanovenom osobitným predpisom,</w:t>
      </w:r>
      <w:hyperlink r:id="rId15" w:anchor="poznamky.poznamka-10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10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f)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zabezpečuje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vykonávanie opatrení podľa osobitného predpisu,</w:t>
      </w:r>
      <w:hyperlink r:id="rId16" w:anchor="poznamky.poznamka-11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11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g)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podáva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Komisii správy o uplatňovaní osobitného predpisu,</w:t>
      </w:r>
      <w:hyperlink r:id="rId17" w:anchor="poznamky.poznamka-12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12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h)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zúčastňuje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sa na medzinárodnej spolupráci a na uskutočňovaní medzinárodných programov, projektov a dohovorov v oblasti využívania genetických zdrojov.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3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Ústredný kontrolný a skúšobný ústav poľnohospodársky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Ústredný kontrolný a skúšobný ústav poľnohospodársky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prijíma od používateľov</w:t>
      </w:r>
      <w:hyperlink r:id="rId18" w:anchor="poznamky.poznamka-13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13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vyhlásenia a informácie za podmienok a spôsobom podľa osobitného predpisu,</w:t>
      </w:r>
      <w:hyperlink r:id="rId19" w:anchor="poznamky.poznamka-1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14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ak ide o prípravky na ochranu rastlín, pomocné prípravky v ochrane rastlín, hnojivá, krmivá, odrody pestovaných rastlín alebo množiteľský materiál pestovaných rastlín, ktoré sú pred ich uvedením na trh predmetom povoľovania, predmetom autorizácie alebo predmetom notifikácie podľa osobitných predpisov,</w:t>
      </w:r>
      <w:hyperlink r:id="rId20" w:anchor="poznamky.poznamka-15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15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plní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informačnú povinnosť</w:t>
      </w:r>
      <w:hyperlink r:id="rId21" w:anchor="poznamky.poznamka-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vo vzťahu k prijatým vyhláseniam a informáciám podľa písmena a),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spolupracuje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 poskytuje súčinnosť ministerstvu a Slovenskej inšpekcii životného prostredia (ďalej len „inšpekcia“) v oblasti využívania genetických zdrojov.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4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Štátny ústav pre kontrolu liečiv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Štátny ústav pre kontrolu liečiv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prijíma od používateľov vyhlásenia a informácie za podmienok a spôsobom podľa osobitného predpisu,</w:t>
      </w:r>
      <w:hyperlink r:id="rId22" w:anchor="poznamky.poznamka-1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14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ak ide o humánne lieky alebo zdravotnícke pomôcky, ktoré sú pred ich uvedením na trh predmetom povoľovania alebo predmetom notifikácie podľa osobitného predpisu,</w:t>
      </w:r>
      <w:hyperlink r:id="rId23" w:anchor="poznamky.poznamka-16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16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plní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informačnú povinnosť</w:t>
      </w:r>
      <w:hyperlink r:id="rId24" w:anchor="poznamky.poznamka-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vo vzťahu k prijatým vyhláseniam a informáciám podľa písmena a),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spolupracuje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 poskytuje súčinnosť ministerstvu a inšpekcii v oblasti využívania genetických zdrojov.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5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Ústav štátnej kontroly veterinárnych biopreparátov a liečiv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Ústav štátnej kontroly veterinárnych biopreparátov a liečiv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prijíma od používateľov vyhlásenia a informácie za podmienok a spôsobom podľa osobitného predpisu,</w:t>
      </w:r>
      <w:hyperlink r:id="rId25" w:anchor="poznamky.poznamka-1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14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ak ide o veterinárne lieky, ktoré sú pred ich uvedením na trh predmetom povoľovania podľa osobitného predpisu,</w:t>
      </w:r>
      <w:hyperlink r:id="rId26" w:anchor="poznamky.poznamka-17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17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plní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informačnú povinnosť</w:t>
      </w:r>
      <w:hyperlink r:id="rId27" w:anchor="poznamky.poznamka-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vo vzťahu k prijatým vyhláseniam a informáciám podľa písmena a),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lastRenderedPageBreak/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spolupracuje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 poskytuje súčinnosť ministerstvu a inšpekcii v oblasti využívania genetických zdrojov.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6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Ministerstvo hospodárstva Slovenskej republiky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Ministerstvo hospodárstva Slovenskej republiky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prijíma od používateľov vyhlásenia a informácie za podmienok a spôsobom podľa osobitného predpisu,</w:t>
      </w:r>
      <w:hyperlink r:id="rId28" w:anchor="poznamky.poznamka-1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14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ak ide o biocídne výrobky, ktoré sú pred ich uvedením na trh predmetom povoľovania alebo predmetom autorizácie podľa osobitného predpisu,</w:t>
      </w:r>
      <w:hyperlink r:id="rId29" w:anchor="poznamky.poznamka-1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18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plní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informačnú povinnosť</w:t>
      </w:r>
      <w:hyperlink r:id="rId30" w:anchor="poznamky.poznamka-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vo vzťahu k prijatým vyhláseniam a informáciám podľa písmena a),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spolupracuje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 poskytuje súčinnosť ministerstvu a inšpekcii v oblasti využívania genetických zdrojov.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7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Úrad verejného zdravotníctva Slovenskej republiky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Úrad verejného zdravotníctva Slovenskej republiky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prijíma od používateľov vyhlásenia a informácie za podmienok a spôsobom podľa osobitného predpisu,</w:t>
      </w:r>
      <w:hyperlink r:id="rId31" w:anchor="poznamky.poznamka-1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14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ak ide o nové potraviny alebo výživové doplnky, ktoré sú pred ich uvedením na trh predmetom povoľovania podľa osobitného predpisu,</w:t>
      </w:r>
      <w:hyperlink r:id="rId32" w:anchor="poznamky.poznamka-1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19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plní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informačnú povinnosť</w:t>
      </w:r>
      <w:hyperlink r:id="rId33" w:anchor="poznamky.poznamka-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vo vzťahu k prijatým vyhláseniam a informáciám podľa písmena a),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spolupracuje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 poskytuje súčinnosť ministerstvu a inšpekcii v oblasti využívania genetických zdrojov.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8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Iné orgány v oblasti využívania genetických zdrojov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Orgány štátnej správy a právnické osoby, ktoré podľa osobitných predpisov</w:t>
      </w:r>
      <w:hyperlink r:id="rId34" w:anchor="poznamky.poznamka-20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20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rozhodujú o poskytnutí finančných prostriedkov určených na výskum zahrňujúci používanie genetických zdrojov alebo tradičných poznatkov súvisiacich s genetickými zdrojmi fyzickým osobám a právnickým osobám, prijímajú od príjemcov finančných prostriedkov vyhlásenia o uplatňovaní náležitej starostlivosti za podmienok a spôsobom podľa osobitného predpisu</w:t>
      </w:r>
      <w:hyperlink r:id="rId35" w:anchor="poznamky.poznamka-21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21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 vo vzťahu k prijatým vyhláseniam plnia informačnú povinnosť.</w:t>
      </w:r>
      <w:hyperlink r:id="rId36" w:anchor="poznamky.poznamka-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Orgány štátnej správy a právnické osoby podľa odseku 1 spolupracujú a poskytujú súčinnosť ministerstvu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inšpekcii v oblasti využívania genetických zdrojov.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9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Inšpekcia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lastRenderedPageBreak/>
        <w:t>(1)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Inšpekcia ako orgán kontroly v oblasti využívania genetických zdrojov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vykonáva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kontrolu podľa osobitného predpisu,</w:t>
      </w:r>
      <w:hyperlink r:id="rId37" w:anchor="poznamky.poznamka-22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22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overuje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splnenie kritérií na zaradenie zbierky alebo jej časti do registra zbierok v rámci Európskej únie postupom podľa osobitného predpisu,</w:t>
      </w:r>
      <w:hyperlink r:id="rId38" w:anchor="poznamky.poznamka-23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23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ukladá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fyzickým osobám a právnickým osobám povinnosť prijať opatrenia na odstránenie zistených nedostatkov alebo na nápravu zistených nedostatkov,</w:t>
      </w:r>
      <w:hyperlink r:id="rId39" w:anchor="poznamky.poznamka-2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24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d)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prejednáva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priestupky a iné správne delikty a ukladá pokuty podľa </w:t>
      </w:r>
      <w:hyperlink r:id="rId40" w:anchor="paragraf-10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§ 10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 </w:t>
      </w:r>
      <w:hyperlink r:id="rId41" w:anchor="paragraf-11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11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e)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vedie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záznamy o vykonaných kontrolách, uložených opatreniach na odstránenie zistených nedostatkov alebo na nápravu zistených nedostatkov a uložených pokutách podľa osobitného predpisu,</w:t>
      </w:r>
      <w:hyperlink r:id="rId42" w:anchor="poznamky.poznamka-25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25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f)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informuje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ministerstvo o vykonaných kontrolách, uložených opatreniach na odstránenie zistených nedostatkov alebo na nápravu zistených nedostatkov, uložených pokutách a výsledku overovania splnenia kritérií na zaradenie zbierky alebo jej časti do registra zbierok v rámci Európskej únie,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g)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poskytuje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súčinnosť ministerstvu na účely spolupráce podľa osobitného predpisu.</w:t>
      </w:r>
      <w:hyperlink r:id="rId43" w:anchor="poznamky.poznamka-26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26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Pri výkone činností podľa odseku 1 písm.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a)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b) sa postupuje primerane podľa základných pravidiel kontrolnej činnosti.</w:t>
      </w:r>
      <w:hyperlink r:id="rId44" w:anchor="poznamky.poznamka-27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27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10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Priestupky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Priestupku v oblasti využívania genetických zdrojov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dopustí ten, kto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použije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alebo presunie genetické zdroje alebo tradičné poznatky súvisiace s genetickými zdrojmi v rozpore s osobitným predpisom,</w:t>
      </w:r>
      <w:hyperlink r:id="rId45" w:anchor="poznamky.poznamka-2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28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nezíska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, neuchová alebo neodovzdá ďalším používateľom informácie a dokumenty podľa osobitného predpisu,</w:t>
      </w:r>
      <w:hyperlink r:id="rId46" w:anchor="poznamky.poznamka-2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nepredloží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vyhlásenie a informácie podľa osobitného predpisu</w:t>
      </w:r>
      <w:hyperlink r:id="rId47" w:anchor="poznamky.poznamka-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8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alebo v predloženom vyhlásení uvedie nepravdivé informácie,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d)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nesplní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 určenej lehote uloženú povinnosť prijať opatrenia na odstránenie zistených nedostatkov alebo na nápravu zistených nedostatkov podľa </w:t>
      </w:r>
      <w:hyperlink r:id="rId48" w:anchor="paragraf-9.odsek-1.pismeno-c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 xml:space="preserve">§ 9 ods.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1 písm.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 xml:space="preserve"> c)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Za priestupok podľa odseku 1 písm.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a)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uloží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inšpekcia pokutu od 100 eur do 2 500 eur.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(3)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Za priestupok podľa odseku 1 písm.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b)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až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d) uloží inšpekcia pokutu od 100 eur do 1 000 eur.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(4)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lastRenderedPageBreak/>
        <w:t xml:space="preserve">Inšpekcia môže v rozhodnutí o pokute povinnému súčasne uložiť, aby v určenej lehote vykonal opatrenia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odstránenie alebo nápravu následkov protiprávneho konania, za ktoré mu bola pokuta uložená.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Ak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povinný opatrenia podľa prvej vety v určenej lehote nevykoná, uloží mu inšpekcia ďalšiu pokutu až do dvojnásobku uloženej pokuty, a to aj opakovane.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(5)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Na priestupky a ich prejednávanie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vzťahuje všeobecný predpis o priestupkoch.</w:t>
      </w:r>
      <w:hyperlink r:id="rId49" w:anchor="poznamky.poznamka-30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30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(6)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Výnosy pokút sú príjmom Environmentálneho fondu.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11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Iné správne delikty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Iného správneho deliktu v oblasti využívania genetických zdrojov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dopustí fyzická osoba – podnikateľ alebo právnická osoba, ak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a)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použije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alebo presunie genetické zdroje alebo tradičné poznatky súvisiace s genetickými zdrojmi v rozpore s osobitným predpisom,</w:t>
      </w:r>
      <w:hyperlink r:id="rId50" w:anchor="poznamky.poznamka-2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28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b)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nezíska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, neuchová alebo neodovzdá ďalším používateľom informácie a dokumenty podľa osobitného predpisu,</w:t>
      </w:r>
      <w:hyperlink r:id="rId51" w:anchor="poznamky.poznamka-29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29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c)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nepredloží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vyhlásenie a informácie podľa osobitného predpisu</w:t>
      </w:r>
      <w:hyperlink r:id="rId52" w:anchor="poznamky.poznamka-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8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alebo v predloženom vyhlásení uvedie nepravdivé informácie,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d)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nesplní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 určenej lehote uloženú povinnosť prijať opatrenia na odstránenie zistených nedostatkov alebo na nápravu zistených nedostatkov podľa </w:t>
      </w:r>
      <w:hyperlink r:id="rId53" w:anchor="paragraf-9.odsek-1.pismeno-c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 xml:space="preserve">§ 9 ods.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1 písm.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 xml:space="preserve"> c)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Za iný správny delikt podľa odseku 1 písm.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a)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uloží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inšpekcia pokutu od 500 eur do 100 000 eur.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(3)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Za iný správny delikt podľa odseku 1 písm.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b)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až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d) uloží inšpekcia pokutu od 500 eur do 25 000 eur.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(4)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Pokutu možno uložiť do jedného roka odo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dňa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, keď sa inšpekcia dozvedela o porušení povinnosti, najneskôr do troch rokov, keď došlo k porušeniu povinnosti.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(5)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Pri určení výšky pokuty inšpekcia prihliadne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závažnosť, spôsob, trvanie a následky protiprávneho konania.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(6)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Za viac iných správnych deliktov tej istej fyzickej osoby – podnikateľa alebo právnickej osoby prejednávaných v jednom konaní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uloží sankcia podľa ustanovenia vzťahujúceho sa na iný správny delikt najprísnejšie postihnuteľný.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(7)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Inšpekcia môže v rozhodnutí o pokute povinnému súčasne uložiť, aby v určenej lehote vykonal opatrenia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odstránenie alebo na nápravu následkov protiprávneho konania, za ktoré mu bola pokuta uložená.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Ak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povinný opatrenia podľa prvej vety v určenej lehote nevykoná, uloží mu inšpekcia ďalšiu pokutu až do dvojnásobku uloženej pokuty, a to aj opakovane.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(8)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lastRenderedPageBreak/>
        <w:t>Ak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povinný opakovane poruší v čase do jedného roka od právoplatnosti rozhodnutia o uložení pokuty podľa tohto zákona povinnosť, za ktorú mu bola pokuta uložená, uloží mu inšpekcia ďalšiu pokutu až do dvojnásobku hornej hranice pokuty ustanovenej týmto zákonom.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(9)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Pokuta je splatná do 30 dní odo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dňa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nadobudnutia právoplatnosti rozhodnutia, ktorým bola uložená, ak v tomto rozhodnutí nebola určená dlhšia lehota jej splatnosti.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(10)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Výnosy pokút sú príjmom Environmentálneho fondu.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12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Konanie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Na konanie podľa tohto zákona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vzťahuje všeobecný predpis o správnom konaní</w:t>
      </w:r>
      <w:hyperlink r:id="rId54" w:anchor="poznamky.poznamka-31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31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okrem </w:t>
      </w:r>
      <w:hyperlink r:id="rId55" w:anchor="paragraf-2.odsek-1.pismeno-b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§ 2 písm. b)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  <w:hyperlink r:id="rId56" w:anchor="paragraf-9.odsek-1.pismeno-b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 xml:space="preserve">§ 9 ods.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1 písm.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 xml:space="preserve"> b)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000000"/>
          <w:kern w:val="0"/>
          <w:sz w:val="21"/>
          <w:szCs w:val="21"/>
        </w:rPr>
        <w:t>(2)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Vyhlásenia a informácie podľa osobitného predpisu</w:t>
      </w:r>
      <w:hyperlink r:id="rId57" w:anchor="poznamky.poznamka-32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16"/>
            <w:szCs w:val="16"/>
            <w:vertAlign w:val="superscript"/>
          </w:rPr>
          <w:t>32</w:t>
        </w:r>
        <w:r w:rsidRPr="00DB6F8F">
          <w:rPr>
            <w:rFonts w:ascii="Segoe UI" w:eastAsia="굴림" w:hAnsi="Segoe UI" w:cs="Segoe UI"/>
            <w:i/>
            <w:iCs/>
            <w:color w:val="0000FF"/>
            <w:kern w:val="0"/>
            <w:sz w:val="21"/>
            <w:szCs w:val="21"/>
          </w:rPr>
          <w:t>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sa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predkladajú elektronicky.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1"/>
          <w:szCs w:val="21"/>
        </w:rPr>
        <w:t>§ 13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line="240" w:lineRule="auto"/>
        <w:rPr>
          <w:rFonts w:ascii="Segoe UI" w:eastAsia="굴림" w:hAnsi="Segoe UI" w:cs="Segoe UI"/>
          <w:b/>
          <w:bCs/>
          <w:color w:val="000000"/>
          <w:kern w:val="0"/>
          <w:sz w:val="22"/>
        </w:rPr>
      </w:pPr>
      <w:r w:rsidRPr="00DB6F8F">
        <w:rPr>
          <w:rFonts w:ascii="Segoe UI" w:eastAsia="굴림" w:hAnsi="Segoe UI" w:cs="Segoe UI"/>
          <w:b/>
          <w:bCs/>
          <w:color w:val="000000"/>
          <w:kern w:val="0"/>
          <w:sz w:val="22"/>
        </w:rPr>
        <w:t>Účinnosť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Tento zákon nadobúda účinnosť 1.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decembra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2015.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Andrej Kiska v. r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br/>
        <w:t>Peter Pellegrini v. r.</w:t>
      </w: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br/>
        <w:t>Robert Fico v. r.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Čl. 3 bod 2 nariadenia Európskeho parlamentu a Rady (EÚ) č. 511/2014 zo 16.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apríla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2014 o opatreniach na zaistenie súladu pre používateľov Nagojského protokolu o prístupe ku genetickým zdrojom a spravodlivom a rovnocennom spoločnom využívaní prínosov vyplývajúcich z ich používania v Únii (Ú. v. EÚ L 150, 20.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5. 2014).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Čl. 3 bod 7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3)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Nariadenie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4)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Čl. 1 Dohovoru o biologickej diverzite (oznámenie č. 34/1996 Z. z.).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5)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Čl. 3 bod 9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6)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5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2, 3 a 5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7)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5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4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8)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7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1, 2 a 6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9)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7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3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10)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7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4 a čl.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12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lastRenderedPageBreak/>
        <w:t>Čl. 13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16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13)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Čl. 3 bod 4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14)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7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 a 6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15)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Napríklad zákon č. </w:t>
      </w:r>
      <w:hyperlink r:id="rId5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136/2000 Z. z.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 hnojivách v znení neskorších predpisov, zákon č. 271/2005 Z. z. o výrobe, uvádzaní na trh a používaní krmív (krmivársky zákon), zákon č. 597/2006 Z. z. o pôsobnosti orgánov štátnej správy v oblasti registrácie odrôd pestovaných rastlín a uvádzaní množiteľského materiálu pestovaných rastlín na trh v znení zákona č. 467/2008 Z. z., zákon č. 405/2011 Z. z. o rastlinolekárskej starostlivosti a o zmene zákona Národnej rady Slovenskej republiky č. 145/1995 Z. z. o správnych poplatkoch v znení neskorších predpisov v znení zákona č. 387/2013 Z. z., zákon č. 387/2013 Z. z. o pomocných prípravkoch v ochrane rastlín a o zmene a doplnení niektorých zákonov.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16)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hyperlink r:id="rId59" w:anchor="paragraf-46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§ 46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a </w:t>
      </w:r>
      <w:hyperlink r:id="rId60" w:anchor="paragraf-110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110 zákona č. 362/2011 Z. z.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 o liekoch a zdravotníckych pomôckach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o zmene a doplnení niektorých zákonov v znení neskorších predpisov.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17)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hyperlink r:id="rId61" w:anchor="paragraf-84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§ 84 zákona č. 362/2011 Z. z.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v znení neskorších predpisov.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18)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hyperlink r:id="rId62" w:anchor="paragraf-4.odsek-1.pismeno-c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 xml:space="preserve">§ 4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ods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 xml:space="preserve">.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1 písm.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 xml:space="preserve"> c)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</w:t>
      </w:r>
      <w:hyperlink r:id="rId63" w:anchor="paragraf-4.odsek-1.pismeno-e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e) zákona č. 319/2013 Z. z.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 pôsobnosti orgánov štátnej správy pre sprístupňovanie biocídnych výrobkov na trh a ich používanie a o zmene a doplnení niektorých zákonov (biocídny zákon).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19)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hyperlink r:id="rId64" w:anchor="paragraf-6.odsek-3.pismeno-a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 xml:space="preserve">§ 6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ods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 xml:space="preserve">.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3 písm.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 xml:space="preserve"> a) </w:t>
        </w:r>
        <w:proofErr w:type="gramStart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zákona</w:t>
        </w:r>
        <w:proofErr w:type="gramEnd"/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 xml:space="preserve"> Národnej rady Slovenskej republiky č. 152/1995 Z. z.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 potravinách v znení neskorších predpisov.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20)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Napríklad zákon č. </w:t>
      </w:r>
      <w:hyperlink r:id="rId65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172/2005 Z. z.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 organizácii štátnej podpory výskumu a vývoja a o doplnení zákona č. 575/2001 Z. z. o organizácii činnosti vlády a organizácii ústrednej štátnej správy v znení neskorších predpisov v znení neskorších predpisov, zákon č. 292/2014 Z. z. o príspevku poskytovanom z európskych štrukturálnych a investičných fondov a o zmene a doplnení niektorých zákonov.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7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 a 6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Čl. 9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23)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5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4 a 5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24)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9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6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25)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10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 nariadenia (EÚ) č. 511/2014.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26)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Čl. 12 písm.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d)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e) nariadenia (EÚ) č. 511/2014.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27)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hyperlink r:id="rId66" w:anchor="paragraf-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§ 8 až 16 zákona č. 10/1996 Z. z.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 kontrole v štátnej správe v znení neskorších predpisov.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28)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lastRenderedPageBreak/>
        <w:t xml:space="preserve">Čl. 4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2, 5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8 nariadenia (EÚ) č. 511/2014.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29)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4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3, 6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a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8 nariadenia (EÚ) č. 511/2014.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30)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Zákon Slovenskej národnej rady č. </w:t>
      </w:r>
      <w:hyperlink r:id="rId67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372/1990 Zb.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 priestupkoch v znení neskorších predpisov.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31)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Zákon č. </w:t>
      </w:r>
      <w:hyperlink r:id="rId68" w:tooltip="Odkaz na predpis alebo ustanovenie" w:history="1">
        <w:r w:rsidRPr="00DB6F8F">
          <w:rPr>
            <w:rFonts w:ascii="Segoe UI" w:eastAsia="굴림" w:hAnsi="Segoe UI" w:cs="Segoe UI"/>
            <w:i/>
            <w:iCs/>
            <w:color w:val="5B677D"/>
            <w:kern w:val="0"/>
            <w:sz w:val="21"/>
            <w:szCs w:val="21"/>
          </w:rPr>
          <w:t>71/1967 Zb.</w:t>
        </w:r>
      </w:hyperlink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 o správnom konaní (správny poriadok) v znení neskorších predpisov.</w:t>
      </w:r>
      <w:proofErr w:type="gramEnd"/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32)</w:t>
      </w:r>
    </w:p>
    <w:p w:rsidR="00DB6F8F" w:rsidRPr="00DB6F8F" w:rsidRDefault="00DB6F8F" w:rsidP="00DB6F8F">
      <w:pPr>
        <w:widowControl/>
        <w:shd w:val="clear" w:color="auto" w:fill="FFFFFF"/>
        <w:wordWrap/>
        <w:autoSpaceDE/>
        <w:autoSpaceDN/>
        <w:spacing w:after="100" w:line="240" w:lineRule="auto"/>
        <w:rPr>
          <w:rFonts w:ascii="Segoe UI" w:eastAsia="굴림" w:hAnsi="Segoe UI" w:cs="Segoe UI"/>
          <w:color w:val="494949"/>
          <w:kern w:val="0"/>
          <w:sz w:val="21"/>
          <w:szCs w:val="21"/>
        </w:rPr>
      </w:pPr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Čl. 5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2 a 5 a čl.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 7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ods</w:t>
      </w:r>
      <w:proofErr w:type="gramEnd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 xml:space="preserve">. </w:t>
      </w:r>
      <w:proofErr w:type="gramStart"/>
      <w:r w:rsidRPr="00DB6F8F">
        <w:rPr>
          <w:rFonts w:ascii="Segoe UI" w:eastAsia="굴림" w:hAnsi="Segoe UI" w:cs="Segoe UI"/>
          <w:color w:val="494949"/>
          <w:kern w:val="0"/>
          <w:sz w:val="21"/>
          <w:szCs w:val="21"/>
        </w:rPr>
        <w:t>1, 2 a 6 nariadenia (EÚ) č. 511/2014.</w:t>
      </w:r>
      <w:proofErr w:type="gramEnd"/>
    </w:p>
    <w:p w:rsidR="00E233D7" w:rsidRPr="00DB6F8F" w:rsidRDefault="00E233D7"/>
    <w:sectPr w:rsidR="00E233D7" w:rsidRPr="00DB6F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F"/>
    <w:rsid w:val="00DB6F8F"/>
    <w:rsid w:val="00E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DB6F8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B6F8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B6F8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B6F8F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DB6F8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DB6F8F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6F8F"/>
    <w:rPr>
      <w:color w:val="0000FF"/>
      <w:u w:val="single"/>
    </w:rPr>
  </w:style>
  <w:style w:type="character" w:styleId="HTML">
    <w:name w:val="HTML Variable"/>
    <w:basedOn w:val="a0"/>
    <w:uiPriority w:val="99"/>
    <w:semiHidden/>
    <w:unhideWhenUsed/>
    <w:rsid w:val="00DB6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DB6F8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B6F8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B6F8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B6F8F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DB6F8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DB6F8F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6F8F"/>
    <w:rPr>
      <w:color w:val="0000FF"/>
      <w:u w:val="single"/>
    </w:rPr>
  </w:style>
  <w:style w:type="character" w:styleId="HTML">
    <w:name w:val="HTML Variable"/>
    <w:basedOn w:val="a0"/>
    <w:uiPriority w:val="99"/>
    <w:semiHidden/>
    <w:unhideWhenUsed/>
    <w:rsid w:val="00DB6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2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7053747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8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8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22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606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7387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9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4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6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33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92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4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17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83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28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20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2266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2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0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6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5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325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14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425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7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8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70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809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9297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43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1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9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70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9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7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2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3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9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9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1521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6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6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7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8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299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79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6763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0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7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3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32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7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24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0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51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53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73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1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619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00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171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14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4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0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6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1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6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48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48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6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05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13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92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74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0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9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34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37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7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32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4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6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1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5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6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3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6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7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305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6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3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02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24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4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9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0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04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9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61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71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60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9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2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0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55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09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7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0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5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03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40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6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714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6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5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0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142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73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04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2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4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4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7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4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214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65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5/263/20151201" TargetMode="External"/><Relationship Id="rId21" Type="http://schemas.openxmlformats.org/officeDocument/2006/relationships/hyperlink" Target="https://www.slov-lex.sk/pravne-predpisy/SK/ZZ/2015/263/20151201" TargetMode="External"/><Relationship Id="rId42" Type="http://schemas.openxmlformats.org/officeDocument/2006/relationships/hyperlink" Target="https://www.slov-lex.sk/pravne-predpisy/SK/ZZ/2015/263/20151201" TargetMode="External"/><Relationship Id="rId47" Type="http://schemas.openxmlformats.org/officeDocument/2006/relationships/hyperlink" Target="https://www.slov-lex.sk/pravne-predpisy/SK/ZZ/2015/263/20151201" TargetMode="External"/><Relationship Id="rId63" Type="http://schemas.openxmlformats.org/officeDocument/2006/relationships/hyperlink" Target="https://www.slov-lex.sk/pravne-predpisy/SK/ZZ/2013/319/" TargetMode="External"/><Relationship Id="rId68" Type="http://schemas.openxmlformats.org/officeDocument/2006/relationships/hyperlink" Target="https://www.slov-lex.sk/pravne-predpisy/SK/ZZ/1967/71/" TargetMode="External"/><Relationship Id="rId7" Type="http://schemas.openxmlformats.org/officeDocument/2006/relationships/hyperlink" Target="https://www.slov-lex.sk/pravne-predpisy/SK/ZZ/2015/263/201512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lov-lex.sk/pravne-predpisy/SK/ZZ/2015/263/20151201" TargetMode="External"/><Relationship Id="rId29" Type="http://schemas.openxmlformats.org/officeDocument/2006/relationships/hyperlink" Target="https://www.slov-lex.sk/pravne-predpisy/SK/ZZ/2015/263/20151201" TargetMode="External"/><Relationship Id="rId11" Type="http://schemas.openxmlformats.org/officeDocument/2006/relationships/hyperlink" Target="https://www.slov-lex.sk/pravne-predpisy/SK/ZZ/2015/263/20151201" TargetMode="External"/><Relationship Id="rId24" Type="http://schemas.openxmlformats.org/officeDocument/2006/relationships/hyperlink" Target="https://www.slov-lex.sk/pravne-predpisy/SK/ZZ/2015/263/20151201" TargetMode="External"/><Relationship Id="rId32" Type="http://schemas.openxmlformats.org/officeDocument/2006/relationships/hyperlink" Target="https://www.slov-lex.sk/pravne-predpisy/SK/ZZ/2015/263/20151201" TargetMode="External"/><Relationship Id="rId37" Type="http://schemas.openxmlformats.org/officeDocument/2006/relationships/hyperlink" Target="https://www.slov-lex.sk/pravne-predpisy/SK/ZZ/2015/263/20151201" TargetMode="External"/><Relationship Id="rId40" Type="http://schemas.openxmlformats.org/officeDocument/2006/relationships/hyperlink" Target="https://www.slov-lex.sk/pravne-predpisy/SK/ZZ/2015/263/20151201" TargetMode="External"/><Relationship Id="rId45" Type="http://schemas.openxmlformats.org/officeDocument/2006/relationships/hyperlink" Target="https://www.slov-lex.sk/pravne-predpisy/SK/ZZ/2015/263/20151201" TargetMode="External"/><Relationship Id="rId53" Type="http://schemas.openxmlformats.org/officeDocument/2006/relationships/hyperlink" Target="https://www.slov-lex.sk/pravne-predpisy/SK/ZZ/2015/263/20151201" TargetMode="External"/><Relationship Id="rId58" Type="http://schemas.openxmlformats.org/officeDocument/2006/relationships/hyperlink" Target="https://www.slov-lex.sk/pravne-predpisy/SK/ZZ/2000/136/" TargetMode="External"/><Relationship Id="rId66" Type="http://schemas.openxmlformats.org/officeDocument/2006/relationships/hyperlink" Target="https://www.slov-lex.sk/pravne-predpisy/SK/ZZ/1996/10/" TargetMode="External"/><Relationship Id="rId5" Type="http://schemas.openxmlformats.org/officeDocument/2006/relationships/hyperlink" Target="https://www.slov-lex.sk/pravne-predpisy/SK/ZZ/2015/263/20151201" TargetMode="External"/><Relationship Id="rId61" Type="http://schemas.openxmlformats.org/officeDocument/2006/relationships/hyperlink" Target="https://www.slov-lex.sk/pravne-predpisy/SK/ZZ/2011/362/" TargetMode="External"/><Relationship Id="rId19" Type="http://schemas.openxmlformats.org/officeDocument/2006/relationships/hyperlink" Target="https://www.slov-lex.sk/pravne-predpisy/SK/ZZ/2015/263/20151201" TargetMode="External"/><Relationship Id="rId14" Type="http://schemas.openxmlformats.org/officeDocument/2006/relationships/hyperlink" Target="https://www.slov-lex.sk/pravne-predpisy/SK/ZZ/2015/263/20151201" TargetMode="External"/><Relationship Id="rId22" Type="http://schemas.openxmlformats.org/officeDocument/2006/relationships/hyperlink" Target="https://www.slov-lex.sk/pravne-predpisy/SK/ZZ/2015/263/20151201" TargetMode="External"/><Relationship Id="rId27" Type="http://schemas.openxmlformats.org/officeDocument/2006/relationships/hyperlink" Target="https://www.slov-lex.sk/pravne-predpisy/SK/ZZ/2015/263/20151201" TargetMode="External"/><Relationship Id="rId30" Type="http://schemas.openxmlformats.org/officeDocument/2006/relationships/hyperlink" Target="https://www.slov-lex.sk/pravne-predpisy/SK/ZZ/2015/263/20151201" TargetMode="External"/><Relationship Id="rId35" Type="http://schemas.openxmlformats.org/officeDocument/2006/relationships/hyperlink" Target="https://www.slov-lex.sk/pravne-predpisy/SK/ZZ/2015/263/20151201" TargetMode="External"/><Relationship Id="rId43" Type="http://schemas.openxmlformats.org/officeDocument/2006/relationships/hyperlink" Target="https://www.slov-lex.sk/pravne-predpisy/SK/ZZ/2015/263/20151201" TargetMode="External"/><Relationship Id="rId48" Type="http://schemas.openxmlformats.org/officeDocument/2006/relationships/hyperlink" Target="https://www.slov-lex.sk/pravne-predpisy/SK/ZZ/2015/263/20151201" TargetMode="External"/><Relationship Id="rId56" Type="http://schemas.openxmlformats.org/officeDocument/2006/relationships/hyperlink" Target="https://www.slov-lex.sk/pravne-predpisy/SK/ZZ/2015/263/20151201" TargetMode="External"/><Relationship Id="rId64" Type="http://schemas.openxmlformats.org/officeDocument/2006/relationships/hyperlink" Target="https://www.slov-lex.sk/pravne-predpisy/SK/ZZ/1995/152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slov-lex.sk/pravne-predpisy/SK/ZZ/2015/263/20151201" TargetMode="External"/><Relationship Id="rId51" Type="http://schemas.openxmlformats.org/officeDocument/2006/relationships/hyperlink" Target="https://www.slov-lex.sk/pravne-predpisy/SK/ZZ/2015/263/201512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2015/263/20151201" TargetMode="External"/><Relationship Id="rId17" Type="http://schemas.openxmlformats.org/officeDocument/2006/relationships/hyperlink" Target="https://www.slov-lex.sk/pravne-predpisy/SK/ZZ/2015/263/20151201" TargetMode="External"/><Relationship Id="rId25" Type="http://schemas.openxmlformats.org/officeDocument/2006/relationships/hyperlink" Target="https://www.slov-lex.sk/pravne-predpisy/SK/ZZ/2015/263/20151201" TargetMode="External"/><Relationship Id="rId33" Type="http://schemas.openxmlformats.org/officeDocument/2006/relationships/hyperlink" Target="https://www.slov-lex.sk/pravne-predpisy/SK/ZZ/2015/263/20151201" TargetMode="External"/><Relationship Id="rId38" Type="http://schemas.openxmlformats.org/officeDocument/2006/relationships/hyperlink" Target="https://www.slov-lex.sk/pravne-predpisy/SK/ZZ/2015/263/20151201" TargetMode="External"/><Relationship Id="rId46" Type="http://schemas.openxmlformats.org/officeDocument/2006/relationships/hyperlink" Target="https://www.slov-lex.sk/pravne-predpisy/SK/ZZ/2015/263/20151201" TargetMode="External"/><Relationship Id="rId59" Type="http://schemas.openxmlformats.org/officeDocument/2006/relationships/hyperlink" Target="https://www.slov-lex.sk/pravne-predpisy/SK/ZZ/2011/362/" TargetMode="External"/><Relationship Id="rId67" Type="http://schemas.openxmlformats.org/officeDocument/2006/relationships/hyperlink" Target="https://www.slov-lex.sk/pravne-predpisy/SK/ZZ/1990/372/" TargetMode="External"/><Relationship Id="rId20" Type="http://schemas.openxmlformats.org/officeDocument/2006/relationships/hyperlink" Target="https://www.slov-lex.sk/pravne-predpisy/SK/ZZ/2015/263/20151201" TargetMode="External"/><Relationship Id="rId41" Type="http://schemas.openxmlformats.org/officeDocument/2006/relationships/hyperlink" Target="https://www.slov-lex.sk/pravne-predpisy/SK/ZZ/2015/263/20151201" TargetMode="External"/><Relationship Id="rId54" Type="http://schemas.openxmlformats.org/officeDocument/2006/relationships/hyperlink" Target="https://www.slov-lex.sk/pravne-predpisy/SK/ZZ/2015/263/20151201" TargetMode="External"/><Relationship Id="rId62" Type="http://schemas.openxmlformats.org/officeDocument/2006/relationships/hyperlink" Target="https://www.slov-lex.sk/pravne-predpisy/SK/ZZ/2013/319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15/263/20151201" TargetMode="External"/><Relationship Id="rId15" Type="http://schemas.openxmlformats.org/officeDocument/2006/relationships/hyperlink" Target="https://www.slov-lex.sk/pravne-predpisy/SK/ZZ/2015/263/20151201" TargetMode="External"/><Relationship Id="rId23" Type="http://schemas.openxmlformats.org/officeDocument/2006/relationships/hyperlink" Target="https://www.slov-lex.sk/pravne-predpisy/SK/ZZ/2015/263/20151201" TargetMode="External"/><Relationship Id="rId28" Type="http://schemas.openxmlformats.org/officeDocument/2006/relationships/hyperlink" Target="https://www.slov-lex.sk/pravne-predpisy/SK/ZZ/2015/263/20151201" TargetMode="External"/><Relationship Id="rId36" Type="http://schemas.openxmlformats.org/officeDocument/2006/relationships/hyperlink" Target="https://www.slov-lex.sk/pravne-predpisy/SK/ZZ/2015/263/20151201" TargetMode="External"/><Relationship Id="rId49" Type="http://schemas.openxmlformats.org/officeDocument/2006/relationships/hyperlink" Target="https://www.slov-lex.sk/pravne-predpisy/SK/ZZ/2015/263/20151201" TargetMode="External"/><Relationship Id="rId57" Type="http://schemas.openxmlformats.org/officeDocument/2006/relationships/hyperlink" Target="https://www.slov-lex.sk/pravne-predpisy/SK/ZZ/2015/263/20151201" TargetMode="External"/><Relationship Id="rId10" Type="http://schemas.openxmlformats.org/officeDocument/2006/relationships/hyperlink" Target="https://www.slov-lex.sk/pravne-predpisy/SK/ZZ/2015/263/20151201" TargetMode="External"/><Relationship Id="rId31" Type="http://schemas.openxmlformats.org/officeDocument/2006/relationships/hyperlink" Target="https://www.slov-lex.sk/pravne-predpisy/SK/ZZ/2015/263/20151201" TargetMode="External"/><Relationship Id="rId44" Type="http://schemas.openxmlformats.org/officeDocument/2006/relationships/hyperlink" Target="https://www.slov-lex.sk/pravne-predpisy/SK/ZZ/2015/263/20151201" TargetMode="External"/><Relationship Id="rId52" Type="http://schemas.openxmlformats.org/officeDocument/2006/relationships/hyperlink" Target="https://www.slov-lex.sk/pravne-predpisy/SK/ZZ/2015/263/20151201" TargetMode="External"/><Relationship Id="rId60" Type="http://schemas.openxmlformats.org/officeDocument/2006/relationships/hyperlink" Target="https://www.slov-lex.sk/pravne-predpisy/SK/ZZ/2011/362/" TargetMode="External"/><Relationship Id="rId65" Type="http://schemas.openxmlformats.org/officeDocument/2006/relationships/hyperlink" Target="https://www.slov-lex.sk/pravne-predpisy/SK/ZZ/2005/1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5/263/20151201" TargetMode="External"/><Relationship Id="rId13" Type="http://schemas.openxmlformats.org/officeDocument/2006/relationships/hyperlink" Target="https://www.slov-lex.sk/pravne-predpisy/SK/ZZ/2015/263/20151201" TargetMode="External"/><Relationship Id="rId18" Type="http://schemas.openxmlformats.org/officeDocument/2006/relationships/hyperlink" Target="https://www.slov-lex.sk/pravne-predpisy/SK/ZZ/2015/263/20151201" TargetMode="External"/><Relationship Id="rId39" Type="http://schemas.openxmlformats.org/officeDocument/2006/relationships/hyperlink" Target="https://www.slov-lex.sk/pravne-predpisy/SK/ZZ/2015/263/20151201" TargetMode="External"/><Relationship Id="rId34" Type="http://schemas.openxmlformats.org/officeDocument/2006/relationships/hyperlink" Target="https://www.slov-lex.sk/pravne-predpisy/SK/ZZ/2015/263/20151201" TargetMode="External"/><Relationship Id="rId50" Type="http://schemas.openxmlformats.org/officeDocument/2006/relationships/hyperlink" Target="https://www.slov-lex.sk/pravne-predpisy/SK/ZZ/2015/263/20151201" TargetMode="External"/><Relationship Id="rId55" Type="http://schemas.openxmlformats.org/officeDocument/2006/relationships/hyperlink" Target="https://www.slov-lex.sk/pravne-predpisy/SK/ZZ/2015/263/2015120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2018-09-04T07:45:00Z</dcterms:created>
  <dcterms:modified xsi:type="dcterms:W3CDTF">2018-09-04T07:45:00Z</dcterms:modified>
</cp:coreProperties>
</file>