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B64DC" w14:textId="33544B99" w:rsidR="00EF475B" w:rsidRDefault="00EF475B" w:rsidP="00EF475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b/>
          <w:lang w:val="en-US"/>
        </w:rPr>
      </w:pPr>
      <w:bookmarkStart w:id="0" w:name="_GoBack"/>
      <w:bookmarkEnd w:id="0"/>
      <w:r>
        <w:rPr>
          <w:rFonts w:ascii="Arial" w:hAnsi="Arial" w:cs="Arial"/>
          <w:b/>
          <w:lang w:val="en-US"/>
        </w:rPr>
        <w:t>Joint Regulators-Industry Working Group:  Integrated Strategies for Safety Assessments of Cosmetic Ingredients</w:t>
      </w:r>
    </w:p>
    <w:p w14:paraId="7D5928AE" w14:textId="77777777" w:rsidR="00EF475B" w:rsidRDefault="00EF475B" w:rsidP="00EF475B">
      <w:pPr>
        <w:jc w:val="both"/>
        <w:rPr>
          <w:rFonts w:ascii="Arial" w:hAnsi="Arial" w:cs="Arial"/>
          <w:lang w:val="en-US"/>
        </w:rPr>
      </w:pPr>
    </w:p>
    <w:p w14:paraId="607A9677" w14:textId="3FB4B24C" w:rsidR="00EF475B" w:rsidRPr="006A009F" w:rsidRDefault="00F07CF8" w:rsidP="00EF4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purpose of </w:t>
      </w:r>
      <w:r w:rsidR="00BB673E" w:rsidRPr="00133C73">
        <w:rPr>
          <w:rFonts w:ascii="Arial" w:hAnsi="Arial" w:cs="Arial"/>
          <w:i/>
          <w:lang w:val="en-US"/>
        </w:rPr>
        <w:t>ad hoc</w:t>
      </w:r>
      <w:r w:rsidR="00BB673E">
        <w:rPr>
          <w:rFonts w:ascii="Arial" w:hAnsi="Arial" w:cs="Arial"/>
          <w:lang w:val="en-US"/>
        </w:rPr>
        <w:t xml:space="preserve"> </w:t>
      </w:r>
      <w:r w:rsidR="00AC3DDB" w:rsidRPr="00133C73">
        <w:rPr>
          <w:rFonts w:ascii="Arial" w:hAnsi="Arial" w:cs="Arial"/>
          <w:lang w:val="en-US"/>
        </w:rPr>
        <w:t>Joint Regulators-Industry Working Group</w:t>
      </w:r>
      <w:r w:rsidR="00AC3DDB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WG</w:t>
      </w:r>
      <w:r w:rsidR="00AC3DDB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 xml:space="preserve"> is to o</w:t>
      </w:r>
      <w:r w:rsidR="00EF475B" w:rsidRPr="006A009F">
        <w:rPr>
          <w:rFonts w:ascii="Arial" w:hAnsi="Arial" w:cs="Arial"/>
          <w:lang w:val="en-US"/>
        </w:rPr>
        <w:t>utlin</w:t>
      </w:r>
      <w:r>
        <w:rPr>
          <w:rFonts w:ascii="Arial" w:hAnsi="Arial" w:cs="Arial"/>
          <w:lang w:val="en-US"/>
        </w:rPr>
        <w:t>e</w:t>
      </w:r>
      <w:r w:rsidR="00EF475B" w:rsidRPr="006A009F">
        <w:rPr>
          <w:rFonts w:ascii="Arial" w:hAnsi="Arial" w:cs="Arial"/>
          <w:lang w:val="en-US"/>
        </w:rPr>
        <w:t xml:space="preserve"> </w:t>
      </w:r>
      <w:r w:rsidR="00EF475B">
        <w:rPr>
          <w:rFonts w:ascii="Arial" w:hAnsi="Arial" w:cs="Arial"/>
          <w:lang w:val="en-US"/>
        </w:rPr>
        <w:t xml:space="preserve">principles </w:t>
      </w:r>
      <w:r>
        <w:rPr>
          <w:rFonts w:ascii="Arial" w:hAnsi="Arial" w:cs="Arial"/>
          <w:lang w:val="en-US"/>
        </w:rPr>
        <w:t>that</w:t>
      </w:r>
      <w:r w:rsidR="00EF475B">
        <w:rPr>
          <w:rFonts w:ascii="Arial" w:hAnsi="Arial" w:cs="Arial"/>
          <w:lang w:val="en-US"/>
        </w:rPr>
        <w:t xml:space="preserve"> underpin the</w:t>
      </w:r>
      <w:r w:rsidR="00EF475B" w:rsidRPr="006A009F">
        <w:rPr>
          <w:rFonts w:ascii="Arial" w:hAnsi="Arial" w:cs="Arial"/>
          <w:lang w:val="en-US"/>
        </w:rPr>
        <w:t xml:space="preserve"> integration of </w:t>
      </w:r>
      <w:r>
        <w:rPr>
          <w:rFonts w:ascii="Arial" w:hAnsi="Arial" w:cs="Arial"/>
          <w:lang w:val="en-US"/>
        </w:rPr>
        <w:t xml:space="preserve">novel methods </w:t>
      </w:r>
      <w:r w:rsidR="008D734B">
        <w:rPr>
          <w:rFonts w:ascii="Arial" w:hAnsi="Arial" w:cs="Arial"/>
          <w:lang w:val="en-US"/>
        </w:rPr>
        <w:t>and</w:t>
      </w:r>
      <w:r>
        <w:rPr>
          <w:rFonts w:ascii="Arial" w:hAnsi="Arial" w:cs="Arial"/>
          <w:lang w:val="en-US"/>
        </w:rPr>
        <w:t xml:space="preserve"> data </w:t>
      </w:r>
      <w:r w:rsidR="00EF475B" w:rsidRPr="006A009F">
        <w:rPr>
          <w:rFonts w:ascii="Arial" w:hAnsi="Arial" w:cs="Arial"/>
          <w:lang w:val="en-US"/>
        </w:rPr>
        <w:t>in a</w:t>
      </w:r>
      <w:r w:rsidR="00EF475B">
        <w:rPr>
          <w:rFonts w:ascii="Arial" w:hAnsi="Arial" w:cs="Arial"/>
          <w:lang w:val="en-US"/>
        </w:rPr>
        <w:t>n exposure-led</w:t>
      </w:r>
      <w:r w:rsidR="00EF475B" w:rsidRPr="006A009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approach </w:t>
      </w:r>
      <w:r w:rsidR="00EF475B">
        <w:rPr>
          <w:rFonts w:ascii="Arial" w:hAnsi="Arial" w:cs="Arial"/>
          <w:lang w:val="en-US"/>
        </w:rPr>
        <w:t xml:space="preserve">for </w:t>
      </w:r>
      <w:r w:rsidR="00EF475B" w:rsidRPr="006A009F">
        <w:rPr>
          <w:rFonts w:ascii="Arial" w:hAnsi="Arial" w:cs="Arial"/>
          <w:lang w:val="en-US"/>
        </w:rPr>
        <w:t xml:space="preserve">the safety assessment of cosmetic ingredients. </w:t>
      </w:r>
    </w:p>
    <w:p w14:paraId="59EB4BCA" w14:textId="77777777" w:rsidR="00EF475B" w:rsidRPr="006A009F" w:rsidRDefault="00EF475B" w:rsidP="00EF475B">
      <w:pPr>
        <w:jc w:val="both"/>
        <w:rPr>
          <w:rFonts w:ascii="Arial" w:hAnsi="Arial" w:cs="Arial"/>
          <w:lang w:val="en-US"/>
        </w:rPr>
      </w:pPr>
    </w:p>
    <w:p w14:paraId="32C76830" w14:textId="54C96821" w:rsidR="00EF475B" w:rsidRPr="006A009F" w:rsidRDefault="00F07CF8" w:rsidP="00EF4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Novel methods that need to be considered include </w:t>
      </w:r>
      <w:r w:rsidR="00EF475B" w:rsidRPr="006A009F">
        <w:rPr>
          <w:rFonts w:ascii="Arial" w:hAnsi="Arial" w:cs="Arial"/>
          <w:lang w:val="en-US"/>
        </w:rPr>
        <w:t>in-vitro</w:t>
      </w:r>
      <w:r>
        <w:rPr>
          <w:rFonts w:ascii="Arial" w:hAnsi="Arial" w:cs="Arial"/>
          <w:lang w:val="en-US"/>
        </w:rPr>
        <w:t xml:space="preserve"> tests</w:t>
      </w:r>
      <w:r w:rsidR="00EF475B" w:rsidRPr="006A009F">
        <w:rPr>
          <w:rFonts w:ascii="Arial" w:hAnsi="Arial" w:cs="Arial"/>
          <w:lang w:val="en-US"/>
        </w:rPr>
        <w:t>, (quantitative) structure activity relationship</w:t>
      </w:r>
      <w:r>
        <w:rPr>
          <w:rFonts w:ascii="Arial" w:hAnsi="Arial" w:cs="Arial"/>
          <w:lang w:val="en-US"/>
        </w:rPr>
        <w:t>s</w:t>
      </w:r>
      <w:r w:rsidR="00EF475B" w:rsidRPr="006A009F">
        <w:rPr>
          <w:rFonts w:ascii="Arial" w:hAnsi="Arial" w:cs="Arial"/>
          <w:lang w:val="en-US"/>
        </w:rPr>
        <w:t xml:space="preserve"> [(Q)SAR</w:t>
      </w:r>
      <w:r>
        <w:rPr>
          <w:rFonts w:ascii="Arial" w:hAnsi="Arial" w:cs="Arial"/>
          <w:lang w:val="en-US"/>
        </w:rPr>
        <w:t>s</w:t>
      </w:r>
      <w:r w:rsidR="00EF475B" w:rsidRPr="006A009F">
        <w:rPr>
          <w:rFonts w:ascii="Arial" w:hAnsi="Arial" w:cs="Arial"/>
          <w:lang w:val="en-US"/>
        </w:rPr>
        <w:t xml:space="preserve">], computational </w:t>
      </w:r>
      <w:r>
        <w:rPr>
          <w:rFonts w:ascii="Arial" w:hAnsi="Arial" w:cs="Arial"/>
          <w:lang w:val="en-US"/>
        </w:rPr>
        <w:t>methods (including exposure models), and</w:t>
      </w:r>
      <w:r w:rsidR="00EF475B" w:rsidRPr="006A009F">
        <w:rPr>
          <w:rFonts w:ascii="Arial" w:hAnsi="Arial" w:cs="Arial"/>
          <w:lang w:val="en-US"/>
        </w:rPr>
        <w:t xml:space="preserve"> other evolving safety assessment tools</w:t>
      </w:r>
      <w:r>
        <w:rPr>
          <w:rFonts w:ascii="Arial" w:hAnsi="Arial" w:cs="Arial"/>
          <w:lang w:val="en-US"/>
        </w:rPr>
        <w:t>.</w:t>
      </w:r>
    </w:p>
    <w:p w14:paraId="26F4D12E" w14:textId="77777777" w:rsidR="00EF475B" w:rsidRPr="006A009F" w:rsidRDefault="00EF475B" w:rsidP="00EF475B">
      <w:pPr>
        <w:ind w:left="720"/>
        <w:jc w:val="both"/>
        <w:rPr>
          <w:rFonts w:ascii="Arial" w:hAnsi="Arial" w:cs="Arial"/>
          <w:lang w:val="en-US"/>
        </w:rPr>
      </w:pPr>
    </w:p>
    <w:p w14:paraId="1909A017" w14:textId="714B7842" w:rsidR="00EF475B" w:rsidRDefault="00EF475B" w:rsidP="00EF475B">
      <w:pPr>
        <w:jc w:val="both"/>
        <w:rPr>
          <w:rFonts w:ascii="Arial" w:hAnsi="Arial" w:cs="Arial"/>
          <w:lang w:val="en-US"/>
        </w:rPr>
      </w:pPr>
      <w:r w:rsidRPr="00597B84">
        <w:rPr>
          <w:rFonts w:ascii="Arial" w:hAnsi="Arial" w:cs="Arial"/>
          <w:lang w:val="en-US"/>
        </w:rPr>
        <w:t xml:space="preserve">It is understood that </w:t>
      </w:r>
      <w:r>
        <w:rPr>
          <w:rFonts w:ascii="Arial" w:hAnsi="Arial" w:cs="Arial"/>
          <w:lang w:val="en-US"/>
        </w:rPr>
        <w:t xml:space="preserve">the science in these areas is rapidly evolving, with </w:t>
      </w:r>
      <w:r w:rsidRPr="00597B84">
        <w:rPr>
          <w:rFonts w:ascii="Arial" w:hAnsi="Arial" w:cs="Arial"/>
          <w:lang w:val="en-US"/>
        </w:rPr>
        <w:t xml:space="preserve">a large number of </w:t>
      </w:r>
      <w:r>
        <w:rPr>
          <w:rFonts w:ascii="Arial" w:hAnsi="Arial" w:cs="Arial"/>
          <w:lang w:val="en-US"/>
        </w:rPr>
        <w:t xml:space="preserve">models and approaches </w:t>
      </w:r>
      <w:r w:rsidRPr="00597B84">
        <w:rPr>
          <w:rFonts w:ascii="Arial" w:hAnsi="Arial" w:cs="Arial"/>
          <w:lang w:val="en-US"/>
        </w:rPr>
        <w:t>referenced in the literature, ranging from ex</w:t>
      </w:r>
      <w:r w:rsidR="00133C73">
        <w:rPr>
          <w:rFonts w:ascii="Arial" w:hAnsi="Arial" w:cs="Arial"/>
          <w:lang w:val="en-US"/>
        </w:rPr>
        <w:t>ploratory</w:t>
      </w:r>
      <w:r w:rsidRPr="00597B84">
        <w:rPr>
          <w:rFonts w:ascii="Arial" w:hAnsi="Arial" w:cs="Arial"/>
          <w:lang w:val="en-US"/>
        </w:rPr>
        <w:t xml:space="preserve"> to those that can be considered mature and well developed</w:t>
      </w:r>
      <w:r>
        <w:rPr>
          <w:rFonts w:ascii="Arial" w:hAnsi="Arial" w:cs="Arial"/>
          <w:lang w:val="en-US"/>
        </w:rPr>
        <w:t xml:space="preserve"> but whose applicability domain is outside of cosmetics.</w:t>
      </w:r>
      <w:r w:rsidR="00F07CF8">
        <w:rPr>
          <w:rFonts w:ascii="Arial" w:hAnsi="Arial" w:cs="Arial"/>
          <w:lang w:val="en-US"/>
        </w:rPr>
        <w:t xml:space="preserve">  There is therefore a need for safety assessors to understand how these tools may be </w:t>
      </w:r>
      <w:r w:rsidR="004E5198">
        <w:rPr>
          <w:rFonts w:ascii="Arial" w:hAnsi="Arial" w:cs="Arial"/>
          <w:lang w:val="en-US"/>
        </w:rPr>
        <w:t>used alongside</w:t>
      </w:r>
      <w:r w:rsidR="00F07CF8">
        <w:rPr>
          <w:rFonts w:ascii="Arial" w:hAnsi="Arial" w:cs="Arial"/>
          <w:lang w:val="en-US"/>
        </w:rPr>
        <w:t xml:space="preserve"> existing data </w:t>
      </w:r>
      <w:r w:rsidR="004E5198">
        <w:rPr>
          <w:rFonts w:ascii="Arial" w:hAnsi="Arial" w:cs="Arial"/>
          <w:lang w:val="en-US"/>
        </w:rPr>
        <w:t>t</w:t>
      </w:r>
      <w:r w:rsidR="00F07CF8">
        <w:rPr>
          <w:rFonts w:ascii="Arial" w:hAnsi="Arial" w:cs="Arial"/>
          <w:lang w:val="en-US"/>
        </w:rPr>
        <w:t>o ensure robust safety decision making.</w:t>
      </w:r>
    </w:p>
    <w:p w14:paraId="214F45AF" w14:textId="77777777" w:rsidR="00EF475B" w:rsidRDefault="00EF475B" w:rsidP="00EF475B">
      <w:pPr>
        <w:jc w:val="both"/>
        <w:rPr>
          <w:rFonts w:ascii="Arial" w:hAnsi="Arial" w:cs="Arial"/>
          <w:lang w:val="en-US"/>
        </w:rPr>
      </w:pPr>
    </w:p>
    <w:p w14:paraId="1842C900" w14:textId="77777777" w:rsidR="00545A3D" w:rsidRPr="00545A3D" w:rsidRDefault="00EF475B" w:rsidP="00545A3D">
      <w:pPr>
        <w:pStyle w:val="CommentText"/>
        <w:rPr>
          <w:rFonts w:ascii="Arial" w:eastAsia="PMingLiU" w:hAnsi="Arial" w:cs="Arial"/>
          <w:iCs/>
        </w:rPr>
      </w:pPr>
      <w:r w:rsidRPr="00597B84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 xml:space="preserve">WG </w:t>
      </w:r>
      <w:r w:rsidRPr="00597B84">
        <w:rPr>
          <w:rFonts w:ascii="Arial" w:hAnsi="Arial" w:cs="Arial"/>
          <w:lang w:val="en-US"/>
        </w:rPr>
        <w:t xml:space="preserve">should </w:t>
      </w:r>
      <w:r>
        <w:rPr>
          <w:rFonts w:ascii="Arial" w:hAnsi="Arial" w:cs="Arial"/>
          <w:lang w:val="en-US"/>
        </w:rPr>
        <w:t xml:space="preserve">consider the strengths and limitations of </w:t>
      </w:r>
      <w:r w:rsidR="00E90FDD">
        <w:rPr>
          <w:rFonts w:ascii="Arial" w:hAnsi="Arial" w:cs="Arial"/>
          <w:lang w:val="en-US"/>
        </w:rPr>
        <w:t xml:space="preserve">some of the </w:t>
      </w:r>
      <w:r>
        <w:rPr>
          <w:rFonts w:ascii="Arial" w:hAnsi="Arial" w:cs="Arial"/>
          <w:lang w:val="en-US"/>
        </w:rPr>
        <w:t>different approach</w:t>
      </w:r>
      <w:r w:rsidR="00F07CF8">
        <w:rPr>
          <w:rFonts w:ascii="Arial" w:hAnsi="Arial" w:cs="Arial"/>
          <w:lang w:val="en-US"/>
        </w:rPr>
        <w:t>es that could be used in</w:t>
      </w:r>
      <w:r>
        <w:rPr>
          <w:rFonts w:ascii="Arial" w:hAnsi="Arial" w:cs="Arial"/>
          <w:lang w:val="en-US"/>
        </w:rPr>
        <w:t xml:space="preserve"> 21</w:t>
      </w:r>
      <w:r w:rsidRPr="00133C73">
        <w:rPr>
          <w:rFonts w:ascii="Arial" w:hAnsi="Arial" w:cs="Arial"/>
          <w:vertAlign w:val="superscript"/>
          <w:lang w:val="en-US"/>
        </w:rPr>
        <w:t>st</w:t>
      </w:r>
      <w:r>
        <w:rPr>
          <w:rFonts w:ascii="Arial" w:hAnsi="Arial" w:cs="Arial"/>
          <w:lang w:val="en-US"/>
        </w:rPr>
        <w:t xml:space="preserve"> Century decision making</w:t>
      </w:r>
      <w:r w:rsidR="00F07CF8">
        <w:rPr>
          <w:rFonts w:ascii="Arial" w:hAnsi="Arial" w:cs="Arial"/>
          <w:lang w:val="en-US"/>
        </w:rPr>
        <w:t>, what they tell us, and how they may be used</w:t>
      </w:r>
      <w:r w:rsidRPr="00545A3D">
        <w:rPr>
          <w:rFonts w:ascii="Arial" w:hAnsi="Arial" w:cs="Arial"/>
          <w:lang w:val="en-US"/>
        </w:rPr>
        <w:t xml:space="preserve">.  </w:t>
      </w:r>
      <w:r w:rsidR="00545A3D" w:rsidRPr="00545A3D">
        <w:rPr>
          <w:rFonts w:ascii="Arial" w:hAnsi="Arial" w:cs="Arial"/>
          <w:iCs/>
          <w:lang w:val="en-US"/>
        </w:rPr>
        <w:t>This could include the range of available approaches from credible sources including ICATM, OECD, and the mature components of such programs as SEURAT-1 in the EU, TOX21 in the USA, and others</w:t>
      </w:r>
      <w:r w:rsidR="00545A3D" w:rsidRPr="00545A3D">
        <w:rPr>
          <w:rFonts w:ascii="Arial" w:hAnsi="Arial" w:cs="Arial"/>
          <w:iCs/>
          <w:lang w:eastAsia="en-GB"/>
        </w:rPr>
        <w:t>.  Previous work by ICCR will also be taken into account and where appropriate built on.</w:t>
      </w:r>
    </w:p>
    <w:p w14:paraId="69FECE54" w14:textId="327A48AC" w:rsidR="00EF475B" w:rsidRDefault="00EF475B" w:rsidP="00EF475B">
      <w:pPr>
        <w:jc w:val="both"/>
        <w:rPr>
          <w:rFonts w:ascii="Arial" w:hAnsi="Arial" w:cs="Arial"/>
          <w:lang w:val="en-US"/>
        </w:rPr>
      </w:pPr>
    </w:p>
    <w:p w14:paraId="6F3E606D" w14:textId="44D53D0C" w:rsidR="00EF475B" w:rsidRDefault="00EF475B" w:rsidP="00EF4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first deliverable from this effort will be an overview of how these </w:t>
      </w:r>
      <w:r w:rsidR="00F55B95">
        <w:rPr>
          <w:rFonts w:ascii="Arial" w:hAnsi="Arial" w:cs="Arial"/>
          <w:lang w:val="en-US"/>
        </w:rPr>
        <w:t>assessment tools</w:t>
      </w:r>
      <w:r>
        <w:rPr>
          <w:rFonts w:ascii="Arial" w:hAnsi="Arial" w:cs="Arial"/>
          <w:lang w:val="en-US"/>
        </w:rPr>
        <w:t xml:space="preserve"> may be integrated to assess the safety of ingredients used in cosmetics. </w:t>
      </w:r>
    </w:p>
    <w:p w14:paraId="470635BA" w14:textId="77777777" w:rsidR="00EF475B" w:rsidRDefault="00EF475B" w:rsidP="00EF475B">
      <w:pPr>
        <w:jc w:val="both"/>
        <w:rPr>
          <w:rFonts w:ascii="Arial" w:hAnsi="Arial" w:cs="Arial"/>
          <w:lang w:val="en-US"/>
        </w:rPr>
      </w:pPr>
    </w:p>
    <w:p w14:paraId="5447EB6C" w14:textId="77777777" w:rsidR="00F07CF8" w:rsidRDefault="00EF475B" w:rsidP="00EF4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WG will inform the ICCR Steering Committee regularly on its progress.</w:t>
      </w:r>
      <w:r w:rsidR="00F07CF8">
        <w:rPr>
          <w:rFonts w:ascii="Arial" w:hAnsi="Arial" w:cs="Arial"/>
          <w:lang w:val="en-US"/>
        </w:rPr>
        <w:t xml:space="preserve">  Deliverables include:</w:t>
      </w:r>
    </w:p>
    <w:p w14:paraId="661F79AE" w14:textId="77777777" w:rsidR="00F07CF8" w:rsidRDefault="00F07CF8" w:rsidP="00EF475B">
      <w:pPr>
        <w:jc w:val="both"/>
        <w:rPr>
          <w:rFonts w:ascii="Arial" w:hAnsi="Arial" w:cs="Arial"/>
          <w:lang w:val="en-US"/>
        </w:rPr>
      </w:pPr>
    </w:p>
    <w:p w14:paraId="608BF42E" w14:textId="535CD277" w:rsidR="00EF475B" w:rsidRDefault="00F07CF8" w:rsidP="00133C7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Presentation of </w:t>
      </w:r>
      <w:r w:rsidR="00F55B95">
        <w:rPr>
          <w:rFonts w:ascii="Arial" w:hAnsi="Arial" w:cs="Arial"/>
          <w:lang w:val="en-US"/>
        </w:rPr>
        <w:t xml:space="preserve">revised </w:t>
      </w:r>
      <w:proofErr w:type="spellStart"/>
      <w:r>
        <w:rPr>
          <w:rFonts w:ascii="Arial" w:hAnsi="Arial" w:cs="Arial"/>
          <w:lang w:val="en-US"/>
        </w:rPr>
        <w:t>ToR</w:t>
      </w:r>
      <w:r w:rsidR="00F55B95">
        <w:rPr>
          <w:rFonts w:ascii="Arial" w:hAnsi="Arial" w:cs="Arial"/>
          <w:lang w:val="en-US"/>
        </w:rPr>
        <w:t>s</w:t>
      </w:r>
      <w:proofErr w:type="spellEnd"/>
      <w:r>
        <w:rPr>
          <w:rFonts w:ascii="Arial" w:hAnsi="Arial" w:cs="Arial"/>
          <w:lang w:val="en-US"/>
        </w:rPr>
        <w:t xml:space="preserve"> for endorsement by</w:t>
      </w:r>
      <w:r w:rsidR="00133C73">
        <w:rPr>
          <w:rFonts w:ascii="Arial" w:hAnsi="Arial" w:cs="Arial"/>
          <w:lang w:val="en-US"/>
        </w:rPr>
        <w:t xml:space="preserve"> </w:t>
      </w:r>
      <w:r w:rsidR="00EF475B" w:rsidRPr="00133C73">
        <w:rPr>
          <w:rFonts w:ascii="Arial" w:hAnsi="Arial" w:cs="Arial"/>
          <w:lang w:val="en-US"/>
        </w:rPr>
        <w:t>ICCR-10 in 2016.</w:t>
      </w:r>
    </w:p>
    <w:p w14:paraId="74237F18" w14:textId="000E3501" w:rsidR="00F07CF8" w:rsidRDefault="00F07CF8" w:rsidP="00133C7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Report describing </w:t>
      </w:r>
      <w:r w:rsidR="00E90FDD">
        <w:rPr>
          <w:rFonts w:ascii="Arial" w:hAnsi="Arial" w:cs="Arial"/>
          <w:lang w:val="en-US"/>
        </w:rPr>
        <w:t xml:space="preserve">the principles underpinning an </w:t>
      </w:r>
      <w:r>
        <w:rPr>
          <w:rFonts w:ascii="Arial" w:hAnsi="Arial" w:cs="Arial"/>
          <w:lang w:val="en-US"/>
        </w:rPr>
        <w:t>exposure-led approach to the integration of novel approaches in safety decision making in 2017</w:t>
      </w:r>
    </w:p>
    <w:p w14:paraId="10CFBBA0" w14:textId="77777777" w:rsidR="00F07CF8" w:rsidRPr="00133C73" w:rsidRDefault="00F07CF8" w:rsidP="00133C73">
      <w:pPr>
        <w:pStyle w:val="ListParagraph"/>
        <w:jc w:val="both"/>
        <w:rPr>
          <w:rFonts w:ascii="Arial" w:hAnsi="Arial" w:cs="Arial"/>
          <w:lang w:val="en-US"/>
        </w:rPr>
      </w:pPr>
    </w:p>
    <w:p w14:paraId="49A5704A" w14:textId="79B5C4B6" w:rsidR="00EF475B" w:rsidRPr="004E3725" w:rsidRDefault="00EF475B" w:rsidP="00EF475B">
      <w:pPr>
        <w:spacing w:before="100" w:beforeAutospacing="1" w:after="100" w:afterAutospacing="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group of experts </w:t>
      </w:r>
      <w:r w:rsidR="00F55B95">
        <w:rPr>
          <w:rFonts w:ascii="Arial" w:hAnsi="Arial" w:cs="Arial"/>
          <w:lang w:val="en-US"/>
        </w:rPr>
        <w:t xml:space="preserve">should </w:t>
      </w:r>
      <w:r w:rsidR="00F07CF8">
        <w:rPr>
          <w:rFonts w:ascii="Arial" w:hAnsi="Arial" w:cs="Arial"/>
          <w:lang w:val="en-US"/>
        </w:rPr>
        <w:t>include</w:t>
      </w:r>
      <w:r w:rsidR="00F55B95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both regulators and industry participants</w:t>
      </w:r>
      <w:r w:rsidR="004E5198">
        <w:rPr>
          <w:rFonts w:ascii="Arial" w:hAnsi="Arial" w:cs="Arial"/>
          <w:lang w:val="en-US"/>
        </w:rPr>
        <w:t>, and t</w:t>
      </w:r>
      <w:r w:rsidRPr="001379A1">
        <w:rPr>
          <w:rFonts w:ascii="Arial" w:hAnsi="Arial" w:cs="Arial"/>
          <w:lang w:val="en-US"/>
        </w:rPr>
        <w:t xml:space="preserve">he </w:t>
      </w:r>
      <w:r>
        <w:rPr>
          <w:rFonts w:ascii="Arial" w:hAnsi="Arial" w:cs="Arial"/>
          <w:lang w:val="en-US"/>
        </w:rPr>
        <w:t xml:space="preserve">aggregated </w:t>
      </w:r>
      <w:r w:rsidRPr="001379A1">
        <w:rPr>
          <w:rFonts w:ascii="Arial" w:hAnsi="Arial" w:cs="Arial"/>
          <w:lang w:val="en-US"/>
        </w:rPr>
        <w:t xml:space="preserve">expertise </w:t>
      </w:r>
      <w:r>
        <w:rPr>
          <w:rFonts w:ascii="Arial" w:hAnsi="Arial" w:cs="Arial"/>
          <w:lang w:val="en-US"/>
        </w:rPr>
        <w:t xml:space="preserve">of the </w:t>
      </w:r>
      <w:r w:rsidR="00AC3DDB">
        <w:rPr>
          <w:rFonts w:ascii="Arial" w:hAnsi="Arial" w:cs="Arial"/>
          <w:lang w:val="en-US"/>
        </w:rPr>
        <w:t>WG</w:t>
      </w:r>
      <w:r>
        <w:rPr>
          <w:rFonts w:ascii="Arial" w:hAnsi="Arial" w:cs="Arial"/>
          <w:lang w:val="en-US"/>
        </w:rPr>
        <w:t xml:space="preserve"> </w:t>
      </w:r>
      <w:r w:rsidRPr="001379A1">
        <w:rPr>
          <w:rFonts w:ascii="Arial" w:hAnsi="Arial" w:cs="Arial"/>
          <w:lang w:val="en-US"/>
        </w:rPr>
        <w:t>include</w:t>
      </w:r>
      <w:r w:rsidR="00F07CF8">
        <w:rPr>
          <w:rFonts w:ascii="Arial" w:hAnsi="Arial" w:cs="Arial"/>
          <w:lang w:val="en-US"/>
        </w:rPr>
        <w:t>s</w:t>
      </w:r>
      <w:r w:rsidRPr="001379A1">
        <w:rPr>
          <w:rFonts w:ascii="Arial" w:hAnsi="Arial" w:cs="Arial"/>
          <w:lang w:val="en-US"/>
        </w:rPr>
        <w:t xml:space="preserve">: </w:t>
      </w:r>
    </w:p>
    <w:p w14:paraId="6AD1A12B" w14:textId="09DC9C11" w:rsidR="00EF475B" w:rsidRPr="001B310E" w:rsidRDefault="00EF475B" w:rsidP="00133C73">
      <w:pPr>
        <w:numPr>
          <w:ilvl w:val="0"/>
          <w:numId w:val="1"/>
        </w:numPr>
        <w:spacing w:before="100" w:beforeAutospacing="1" w:after="100" w:afterAutospacing="1"/>
        <w:ind w:left="714" w:hanging="357"/>
        <w:contextualSpacing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Knowledge of </w:t>
      </w:r>
      <w:r w:rsidRPr="008341E5">
        <w:rPr>
          <w:rFonts w:ascii="Arial" w:hAnsi="Arial" w:cs="Arial"/>
          <w:lang w:val="en-US"/>
        </w:rPr>
        <w:t>toxicology</w:t>
      </w:r>
      <w:r>
        <w:rPr>
          <w:rFonts w:ascii="Arial" w:hAnsi="Arial" w:cs="Arial"/>
          <w:lang w:val="en-US"/>
        </w:rPr>
        <w:t xml:space="preserve"> tools (including QSAR, computational methods, </w:t>
      </w:r>
      <w:r w:rsidR="00133C73">
        <w:rPr>
          <w:rFonts w:ascii="Arial" w:hAnsi="Arial" w:cs="Arial"/>
          <w:lang w:val="en-US"/>
        </w:rPr>
        <w:t>in vitro tests</w:t>
      </w:r>
      <w:r>
        <w:rPr>
          <w:rFonts w:ascii="Arial" w:hAnsi="Arial" w:cs="Arial"/>
          <w:lang w:val="en-US"/>
        </w:rPr>
        <w:t>; method/model validation</w:t>
      </w:r>
      <w:r w:rsidRPr="008341E5">
        <w:rPr>
          <w:rFonts w:ascii="Arial" w:hAnsi="Arial" w:cs="Arial"/>
          <w:lang w:val="en-US"/>
        </w:rPr>
        <w:t>;</w:t>
      </w:r>
      <w:r>
        <w:rPr>
          <w:rFonts w:ascii="Arial" w:hAnsi="Arial" w:cs="Arial"/>
          <w:lang w:val="en-US"/>
        </w:rPr>
        <w:t xml:space="preserve"> adverse outcome pathways;</w:t>
      </w:r>
      <w:r w:rsidR="00E90FDD">
        <w:rPr>
          <w:rFonts w:ascii="Arial" w:hAnsi="Arial" w:cs="Arial"/>
          <w:lang w:val="en-US"/>
        </w:rPr>
        <w:t xml:space="preserve"> use of clinical data;</w:t>
      </w:r>
      <w:r>
        <w:rPr>
          <w:rFonts w:ascii="Arial" w:hAnsi="Arial" w:cs="Arial"/>
          <w:lang w:val="en-US"/>
        </w:rPr>
        <w:t xml:space="preserve"> integrated testing strategies, or related disciplines);</w:t>
      </w:r>
      <w:r>
        <w:rPr>
          <w:rFonts w:ascii="Arial" w:hAnsi="Arial" w:cs="Arial"/>
          <w:lang w:val="en-US"/>
        </w:rPr>
        <w:br/>
      </w:r>
      <w:r w:rsidRPr="001B310E">
        <w:rPr>
          <w:rFonts w:ascii="Arial" w:hAnsi="Arial" w:cs="Arial"/>
          <w:lang w:val="en-US"/>
        </w:rPr>
        <w:t xml:space="preserve"> </w:t>
      </w:r>
    </w:p>
    <w:p w14:paraId="0720EA1B" w14:textId="30009636" w:rsidR="00BB673E" w:rsidRDefault="00EF475B" w:rsidP="00133C73">
      <w:pPr>
        <w:numPr>
          <w:ilvl w:val="0"/>
          <w:numId w:val="1"/>
        </w:numPr>
        <w:spacing w:before="100" w:beforeAutospacing="1" w:after="100" w:afterAutospacing="1"/>
        <w:ind w:left="714" w:hanging="357"/>
        <w:contextualSpacing/>
        <w:jc w:val="both"/>
        <w:rPr>
          <w:rFonts w:ascii="Arial" w:hAnsi="Arial" w:cs="Arial"/>
          <w:lang w:val="en-US"/>
        </w:rPr>
      </w:pPr>
      <w:r w:rsidRPr="008341E5">
        <w:rPr>
          <w:rFonts w:ascii="Arial" w:hAnsi="Arial" w:cs="Arial"/>
          <w:lang w:val="en-US"/>
        </w:rPr>
        <w:t xml:space="preserve">Experience in the application of </w:t>
      </w:r>
      <w:r>
        <w:rPr>
          <w:rFonts w:ascii="Arial" w:hAnsi="Arial" w:cs="Arial"/>
          <w:lang w:val="en-US"/>
        </w:rPr>
        <w:t xml:space="preserve">alternative methods and strategies </w:t>
      </w:r>
      <w:r w:rsidR="00E90FDD">
        <w:rPr>
          <w:rFonts w:ascii="Arial" w:hAnsi="Arial" w:cs="Arial"/>
          <w:lang w:val="en-US"/>
        </w:rPr>
        <w:t xml:space="preserve">(e.g. IATA) </w:t>
      </w:r>
      <w:r>
        <w:rPr>
          <w:rFonts w:ascii="Arial" w:hAnsi="Arial" w:cs="Arial"/>
          <w:lang w:val="en-US"/>
        </w:rPr>
        <w:t xml:space="preserve">to support </w:t>
      </w:r>
      <w:r w:rsidRPr="008341E5">
        <w:rPr>
          <w:rFonts w:ascii="Arial" w:hAnsi="Arial" w:cs="Arial"/>
          <w:lang w:val="en-GB"/>
        </w:rPr>
        <w:t xml:space="preserve">integrated </w:t>
      </w:r>
      <w:r>
        <w:rPr>
          <w:rFonts w:ascii="Arial" w:hAnsi="Arial" w:cs="Arial"/>
          <w:lang w:val="en-GB"/>
        </w:rPr>
        <w:t xml:space="preserve">safety </w:t>
      </w:r>
      <w:r w:rsidRPr="008341E5">
        <w:rPr>
          <w:rFonts w:ascii="Arial" w:hAnsi="Arial" w:cs="Arial"/>
          <w:lang w:val="en-GB"/>
        </w:rPr>
        <w:t>assessment (</w:t>
      </w:r>
      <w:r>
        <w:rPr>
          <w:rFonts w:ascii="Arial" w:hAnsi="Arial" w:cs="Arial"/>
          <w:lang w:val="en-GB"/>
        </w:rPr>
        <w:t xml:space="preserve">such as </w:t>
      </w:r>
      <w:r w:rsidRPr="001B310E">
        <w:rPr>
          <w:rFonts w:ascii="Arial" w:hAnsi="Arial" w:cs="Arial"/>
          <w:i/>
          <w:lang w:val="en-GB"/>
        </w:rPr>
        <w:t>in vivo</w:t>
      </w:r>
      <w:r>
        <w:rPr>
          <w:rFonts w:ascii="Arial" w:hAnsi="Arial" w:cs="Arial"/>
          <w:i/>
          <w:lang w:val="en-GB"/>
        </w:rPr>
        <w:t xml:space="preserve">, </w:t>
      </w:r>
      <w:r w:rsidRPr="001B310E">
        <w:rPr>
          <w:rFonts w:ascii="Arial" w:hAnsi="Arial" w:cs="Arial"/>
          <w:i/>
          <w:lang w:val="en-GB"/>
        </w:rPr>
        <w:t>in vitro</w:t>
      </w:r>
      <w:r w:rsidRPr="008341E5">
        <w:rPr>
          <w:rFonts w:ascii="Arial" w:hAnsi="Arial" w:cs="Arial"/>
          <w:lang w:val="en-GB"/>
        </w:rPr>
        <w:t xml:space="preserve"> and </w:t>
      </w:r>
      <w:r w:rsidRPr="001B310E">
        <w:rPr>
          <w:rFonts w:ascii="Arial" w:hAnsi="Arial" w:cs="Arial"/>
          <w:i/>
          <w:lang w:val="en-GB"/>
        </w:rPr>
        <w:t>in silico</w:t>
      </w:r>
      <w:r w:rsidRPr="008341E5">
        <w:rPr>
          <w:rFonts w:ascii="Arial" w:hAnsi="Arial" w:cs="Arial"/>
          <w:lang w:val="en-GB"/>
        </w:rPr>
        <w:t xml:space="preserve"> data) of </w:t>
      </w:r>
      <w:r>
        <w:rPr>
          <w:rFonts w:ascii="Arial" w:hAnsi="Arial" w:cs="Arial"/>
          <w:lang w:val="en-GB"/>
        </w:rPr>
        <w:t>cosmetics</w:t>
      </w:r>
      <w:r w:rsidRPr="008341E5">
        <w:rPr>
          <w:rFonts w:ascii="Arial" w:hAnsi="Arial" w:cs="Arial"/>
          <w:lang w:val="en-GB"/>
        </w:rPr>
        <w:t>;</w:t>
      </w:r>
    </w:p>
    <w:p w14:paraId="14C1CE7A" w14:textId="77777777" w:rsidR="00BB673E" w:rsidRPr="00133C73" w:rsidRDefault="00BB673E" w:rsidP="00133C73">
      <w:pPr>
        <w:spacing w:before="100" w:beforeAutospacing="1" w:after="100" w:afterAutospacing="1"/>
        <w:ind w:left="714"/>
        <w:contextualSpacing/>
        <w:jc w:val="both"/>
        <w:rPr>
          <w:rFonts w:ascii="Arial" w:hAnsi="Arial" w:cs="Arial"/>
          <w:lang w:val="en-US"/>
        </w:rPr>
      </w:pPr>
    </w:p>
    <w:p w14:paraId="208800F3" w14:textId="6FBA76D8" w:rsidR="00EF475B" w:rsidRPr="008341E5" w:rsidRDefault="00EF475B" w:rsidP="00133C73">
      <w:pPr>
        <w:numPr>
          <w:ilvl w:val="0"/>
          <w:numId w:val="1"/>
        </w:numPr>
        <w:spacing w:before="100" w:beforeAutospacing="1" w:after="100" w:afterAutospacing="1"/>
        <w:contextualSpacing/>
        <w:jc w:val="both"/>
        <w:rPr>
          <w:rFonts w:ascii="Arial" w:hAnsi="Arial" w:cs="Arial"/>
          <w:lang w:val="en-GB"/>
        </w:rPr>
      </w:pPr>
      <w:r w:rsidRPr="008341E5">
        <w:rPr>
          <w:rFonts w:ascii="Arial" w:hAnsi="Arial" w:cs="Arial"/>
          <w:lang w:val="en-GB"/>
        </w:rPr>
        <w:t xml:space="preserve">The use of </w:t>
      </w:r>
      <w:r>
        <w:rPr>
          <w:rFonts w:ascii="Arial" w:hAnsi="Arial" w:cs="Arial"/>
          <w:lang w:val="en-GB"/>
        </w:rPr>
        <w:t xml:space="preserve">these emerging technologies </w:t>
      </w:r>
      <w:r w:rsidR="00E90FDD">
        <w:rPr>
          <w:rFonts w:ascii="Arial" w:hAnsi="Arial" w:cs="Arial"/>
          <w:lang w:val="en-GB"/>
        </w:rPr>
        <w:t>to meet</w:t>
      </w:r>
      <w:r w:rsidRPr="008341E5">
        <w:rPr>
          <w:rFonts w:ascii="Arial" w:hAnsi="Arial" w:cs="Arial"/>
          <w:lang w:val="en-US"/>
        </w:rPr>
        <w:t xml:space="preserve"> </w:t>
      </w:r>
      <w:r w:rsidR="00E90FDD">
        <w:rPr>
          <w:rFonts w:ascii="Arial" w:hAnsi="Arial" w:cs="Arial"/>
          <w:lang w:val="en-US"/>
        </w:rPr>
        <w:t xml:space="preserve">the needs of </w:t>
      </w:r>
      <w:r w:rsidRPr="008341E5">
        <w:rPr>
          <w:rFonts w:ascii="Arial" w:hAnsi="Arial" w:cs="Arial"/>
          <w:lang w:val="en-US"/>
        </w:rPr>
        <w:t xml:space="preserve">a </w:t>
      </w:r>
      <w:r>
        <w:rPr>
          <w:rFonts w:ascii="Arial" w:hAnsi="Arial" w:cs="Arial"/>
          <w:lang w:val="en-US"/>
        </w:rPr>
        <w:t xml:space="preserve">cosmetics safety </w:t>
      </w:r>
      <w:r w:rsidR="00E90FDD">
        <w:rPr>
          <w:rFonts w:ascii="Arial" w:hAnsi="Arial" w:cs="Arial"/>
          <w:lang w:val="en-US"/>
        </w:rPr>
        <w:t>evaluation</w:t>
      </w:r>
      <w:r w:rsidRPr="008341E5">
        <w:rPr>
          <w:rFonts w:ascii="Arial" w:hAnsi="Arial" w:cs="Arial"/>
          <w:lang w:val="en-US"/>
        </w:rPr>
        <w:t>;</w:t>
      </w:r>
    </w:p>
    <w:p w14:paraId="3B7B8B3D" w14:textId="4DB36A59" w:rsidR="00EF475B" w:rsidRDefault="00EF475B" w:rsidP="00EF475B">
      <w:pPr>
        <w:spacing w:before="100" w:beforeAutospacing="1" w:after="100" w:afterAutospacing="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Nominated experts should have company/association/ government support to review documents, participate in regular calls among the </w:t>
      </w:r>
      <w:r w:rsidR="00AC3DDB">
        <w:rPr>
          <w:rFonts w:ascii="Arial" w:hAnsi="Arial" w:cs="Arial"/>
          <w:lang w:val="en-US"/>
        </w:rPr>
        <w:t>WG</w:t>
      </w:r>
      <w:r>
        <w:rPr>
          <w:rFonts w:ascii="Arial" w:hAnsi="Arial" w:cs="Arial"/>
          <w:lang w:val="en-US"/>
        </w:rPr>
        <w:t xml:space="preserve"> and, if deemed necessary, attend one in-person meeting during the ICCR-10, cycle in 2016.</w:t>
      </w:r>
    </w:p>
    <w:p w14:paraId="0D998120" w14:textId="51A8F366" w:rsidR="00F55B95" w:rsidRDefault="00F55B95" w:rsidP="00EF475B">
      <w:pPr>
        <w:spacing w:before="100" w:beforeAutospacing="1" w:after="100" w:afterAutospacing="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Given the highly specialized nature of this work proposal, </w:t>
      </w:r>
      <w:r>
        <w:rPr>
          <w:rFonts w:ascii="Arial" w:hAnsi="Arial" w:cs="Arial"/>
          <w:i/>
          <w:lang w:val="en-US"/>
        </w:rPr>
        <w:t>ad hoc</w:t>
      </w:r>
      <w:r>
        <w:rPr>
          <w:rFonts w:ascii="Arial" w:hAnsi="Arial" w:cs="Arial"/>
          <w:lang w:val="en-US"/>
        </w:rPr>
        <w:t xml:space="preserve"> experts may be identified and invited to participate, as required in specific elements of the work.  The identification and participation of such </w:t>
      </w:r>
      <w:r>
        <w:rPr>
          <w:rFonts w:ascii="Arial" w:hAnsi="Arial" w:cs="Arial"/>
          <w:i/>
          <w:lang w:val="en-US"/>
        </w:rPr>
        <w:t>ad hoc</w:t>
      </w:r>
      <w:r>
        <w:rPr>
          <w:rFonts w:ascii="Arial" w:hAnsi="Arial" w:cs="Arial"/>
          <w:lang w:val="en-US"/>
        </w:rPr>
        <w:t xml:space="preserve"> experts on a case by case basis should be at the discretion of the </w:t>
      </w:r>
      <w:r w:rsidR="00AC3DDB">
        <w:rPr>
          <w:rFonts w:ascii="Arial" w:hAnsi="Arial" w:cs="Arial"/>
          <w:lang w:val="en-US"/>
        </w:rPr>
        <w:t>WG</w:t>
      </w:r>
      <w:r>
        <w:rPr>
          <w:rFonts w:ascii="Arial" w:hAnsi="Arial" w:cs="Arial"/>
          <w:lang w:val="en-US"/>
        </w:rPr>
        <w:t xml:space="preserve"> </w:t>
      </w:r>
      <w:r w:rsidR="00AC3DDB">
        <w:rPr>
          <w:rFonts w:ascii="Arial" w:hAnsi="Arial" w:cs="Arial"/>
          <w:lang w:val="en-US"/>
        </w:rPr>
        <w:t>p</w:t>
      </w:r>
      <w:r>
        <w:rPr>
          <w:rFonts w:ascii="Arial" w:hAnsi="Arial" w:cs="Arial"/>
          <w:lang w:val="en-US"/>
        </w:rPr>
        <w:t xml:space="preserve">articipants and </w:t>
      </w:r>
      <w:r w:rsidR="00AC3DDB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>o-</w:t>
      </w:r>
      <w:r w:rsidR="00AC3DDB">
        <w:rPr>
          <w:rFonts w:ascii="Arial" w:hAnsi="Arial" w:cs="Arial"/>
          <w:lang w:val="en-US"/>
        </w:rPr>
        <w:t>c</w:t>
      </w:r>
      <w:r>
        <w:rPr>
          <w:rFonts w:ascii="Arial" w:hAnsi="Arial" w:cs="Arial"/>
          <w:lang w:val="en-US"/>
        </w:rPr>
        <w:t>hairs.</w:t>
      </w:r>
    </w:p>
    <w:p w14:paraId="54FB538F" w14:textId="3271D685" w:rsidR="003C2BA4" w:rsidRDefault="00AC3DDB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en-US"/>
        </w:rPr>
        <w:t>Joint Regulators-Industry Working Group</w:t>
      </w:r>
      <w:r w:rsidR="00F07CF8" w:rsidRPr="00133C73">
        <w:rPr>
          <w:rFonts w:ascii="Arial" w:hAnsi="Arial" w:cs="Arial"/>
          <w:b/>
        </w:rPr>
        <w:t xml:space="preserve"> Participants</w:t>
      </w:r>
    </w:p>
    <w:tbl>
      <w:tblPr>
        <w:tblStyle w:val="TableGrid"/>
        <w:tblW w:w="1062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2824"/>
        <w:gridCol w:w="3969"/>
        <w:gridCol w:w="3827"/>
      </w:tblGrid>
      <w:tr w:rsidR="002A7AB0" w14:paraId="6E398DEE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F645692" w14:textId="77777777" w:rsidR="002A7AB0" w:rsidRDefault="002A7AB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Organization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759E8D9" w14:textId="77777777" w:rsidR="002A7AB0" w:rsidRDefault="002A7AB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Name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F467D17" w14:textId="77777777" w:rsidR="002A7AB0" w:rsidRDefault="002A7AB0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E-mail</w:t>
            </w:r>
          </w:p>
        </w:tc>
      </w:tr>
      <w:tr w:rsidR="002A7AB0" w14:paraId="0FEC5919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6D49B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ANVISA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FC92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Julcemara Gresselle de Oliveira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6B13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Julcemara.oliveira@anvisa.gov.br</w:t>
            </w:r>
          </w:p>
        </w:tc>
      </w:tr>
      <w:tr w:rsidR="002A7AB0" w14:paraId="614FB649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D977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ANVISA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A2B7" w14:textId="3C87AC8E" w:rsidR="002A7AB0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Ana Carolina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2351" w14:textId="582249E2" w:rsidR="002A7AB0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ANA.FALEIROS@anvisa.gov.br</w:t>
            </w:r>
          </w:p>
        </w:tc>
      </w:tr>
      <w:tr w:rsidR="00D861EA" w14:paraId="3E611137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03D8" w14:textId="59BAA70C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ABIHPEC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324F" w14:textId="229C16E6" w:rsidR="00D861EA" w:rsidRPr="00D861EA" w:rsidRDefault="00D861EA">
            <w:pPr>
              <w:rPr>
                <w:rFonts w:ascii="Arial" w:hAnsi="Arial" w:cs="Arial"/>
              </w:rPr>
            </w:pPr>
            <w:proofErr w:type="spellStart"/>
            <w:r w:rsidRPr="00D861EA">
              <w:rPr>
                <w:rFonts w:ascii="Arial" w:hAnsi="Arial" w:cs="Arial"/>
              </w:rPr>
              <w:t>Marcio</w:t>
            </w:r>
            <w:proofErr w:type="spellEnd"/>
            <w:r w:rsidRPr="00D861EA">
              <w:rPr>
                <w:rFonts w:ascii="Arial" w:hAnsi="Arial" w:cs="Arial"/>
              </w:rPr>
              <w:t xml:space="preserve"> </w:t>
            </w:r>
            <w:proofErr w:type="spellStart"/>
            <w:r w:rsidRPr="00D861EA">
              <w:rPr>
                <w:rFonts w:ascii="Arial" w:hAnsi="Arial" w:cs="Arial"/>
              </w:rPr>
              <w:t>Lorencini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D6D" w14:textId="59274CB2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marciolo@grupoboticario.com.br</w:t>
            </w:r>
          </w:p>
        </w:tc>
      </w:tr>
      <w:tr w:rsidR="002A7AB0" w14:paraId="5AB4BFBB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D66E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ABIHPEC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270F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Ariadne Morais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2FE8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ariadne@abihpec.org.br</w:t>
            </w:r>
          </w:p>
        </w:tc>
      </w:tr>
      <w:tr w:rsidR="002A7AB0" w14:paraId="09006EF7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4AB7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Health Canada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29E5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Eric Vaillancourt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00BF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7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eric.vaillancourt@hc-sc.gc.ca</w:t>
              </w:r>
            </w:hyperlink>
          </w:p>
        </w:tc>
      </w:tr>
      <w:tr w:rsidR="002A7AB0" w14:paraId="1F12F79A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F98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Alliance Canada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29C0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Petra Kern (P&amp;G)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F7AB2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8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kern.ps@pg.com</w:t>
              </w:r>
            </w:hyperlink>
          </w:p>
        </w:tc>
      </w:tr>
      <w:tr w:rsidR="002A7AB0" w14:paraId="41C8B9A1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1890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Alliance Canada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22F86" w14:textId="77777777" w:rsidR="002A7AB0" w:rsidRPr="00D861EA" w:rsidRDefault="002A7AB0">
            <w:pPr>
              <w:rPr>
                <w:rFonts w:ascii="Arial" w:hAnsi="Arial" w:cs="Arial"/>
                <w:lang w:val="en-GB"/>
              </w:rPr>
            </w:pPr>
            <w:r w:rsidRPr="00D861EA">
              <w:rPr>
                <w:rFonts w:ascii="Arial" w:hAnsi="Arial" w:cs="Arial"/>
                <w:lang w:val="en-GB"/>
              </w:rPr>
              <w:t>Beta Montemayor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160C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bmontemayor@cosmeticsalliance.ca</w:t>
            </w:r>
          </w:p>
        </w:tc>
      </w:tr>
      <w:tr w:rsidR="00D861EA" w14:paraId="5EC37CDE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2536" w14:textId="77777777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European Commission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E6CA5" w14:textId="1314C280" w:rsidR="00D861EA" w:rsidRPr="00D861EA" w:rsidRDefault="00D861EA">
            <w:pPr>
              <w:rPr>
                <w:rFonts w:ascii="Arial" w:hAnsi="Arial" w:cs="Arial"/>
                <w:b/>
              </w:rPr>
            </w:pPr>
            <w:r w:rsidRPr="00D861EA">
              <w:rPr>
                <w:rFonts w:ascii="Arial" w:hAnsi="Arial" w:cs="Arial"/>
              </w:rPr>
              <w:t>Joao Barroso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E296" w14:textId="3DA7D803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Joao.barroso@ec.europa.eu</w:t>
            </w:r>
          </w:p>
        </w:tc>
      </w:tr>
      <w:tr w:rsidR="002A7AB0" w14:paraId="1248CAAE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2B77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Europe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2D67" w14:textId="77777777" w:rsidR="002A7AB0" w:rsidRPr="00D861EA" w:rsidRDefault="002A7AB0">
            <w:pPr>
              <w:rPr>
                <w:rFonts w:ascii="Arial" w:hAnsi="Arial" w:cs="Arial"/>
                <w:b/>
              </w:rPr>
            </w:pPr>
            <w:r w:rsidRPr="00D861EA">
              <w:rPr>
                <w:rFonts w:ascii="Arial" w:hAnsi="Arial" w:cs="Arial"/>
                <w:b/>
              </w:rPr>
              <w:t>Matt Dent (Unilever) *Co-Chair  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9299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9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Matthew.Dent@unilever.com</w:t>
              </w:r>
            </w:hyperlink>
          </w:p>
        </w:tc>
      </w:tr>
      <w:tr w:rsidR="002A7AB0" w14:paraId="08FE04AA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398D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Europe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7C8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Rob Taalman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8077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0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rtaalman@cosmeticseurope.eu</w:t>
              </w:r>
            </w:hyperlink>
            <w:r w:rsidR="002A7AB0" w:rsidRPr="00D861EA">
              <w:rPr>
                <w:rFonts w:ascii="Arial" w:hAnsi="Arial" w:cs="Arial"/>
              </w:rPr>
              <w:t> </w:t>
            </w:r>
          </w:p>
        </w:tc>
      </w:tr>
      <w:tr w:rsidR="00D861EA" w14:paraId="6701AE58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5E9F" w14:textId="2808177A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Europe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EB34" w14:textId="5165E2BD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Elsa Dietrich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03E2" w14:textId="4CB84394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 xml:space="preserve">edietrich@cosmeticseurope.eu </w:t>
            </w:r>
          </w:p>
        </w:tc>
      </w:tr>
      <w:tr w:rsidR="00D861EA" w14:paraId="528BF575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A7D3" w14:textId="5979772A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Cosmetics Europe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230A" w14:textId="54055337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 xml:space="preserve">Gladys Ouedraogo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2B39" w14:textId="6B5645A3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gouedraogo@rd.loreal.com</w:t>
            </w:r>
          </w:p>
        </w:tc>
      </w:tr>
      <w:tr w:rsidR="002A7AB0" w14:paraId="306CCF8B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5A06A" w14:textId="77777777" w:rsidR="002A7AB0" w:rsidRPr="00D861EA" w:rsidRDefault="002A7AB0">
            <w:pPr>
              <w:rPr>
                <w:rFonts w:ascii="Arial" w:hAnsi="Arial" w:cs="Arial"/>
              </w:rPr>
            </w:pPr>
            <w:proofErr w:type="spellStart"/>
            <w:r w:rsidRPr="00D861EA">
              <w:rPr>
                <w:rFonts w:ascii="Arial" w:hAnsi="Arial" w:cs="Arial"/>
              </w:rPr>
              <w:t>EffCI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ADE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 xml:space="preserve">Reinhard </w:t>
            </w:r>
            <w:proofErr w:type="spellStart"/>
            <w:r w:rsidRPr="00D861EA">
              <w:rPr>
                <w:rFonts w:ascii="Arial" w:hAnsi="Arial" w:cs="Arial"/>
              </w:rPr>
              <w:t>Kreiling</w:t>
            </w:r>
            <w:proofErr w:type="spellEnd"/>
            <w:r w:rsidRPr="00D861EA">
              <w:rPr>
                <w:rFonts w:ascii="Arial" w:hAnsi="Arial" w:cs="Arial"/>
              </w:rPr>
              <w:t xml:space="preserve"> (</w:t>
            </w:r>
            <w:proofErr w:type="spellStart"/>
            <w:r w:rsidRPr="00D861EA">
              <w:rPr>
                <w:rFonts w:ascii="Arial" w:hAnsi="Arial" w:cs="Arial"/>
              </w:rPr>
              <w:t>Clariant</w:t>
            </w:r>
            <w:proofErr w:type="spellEnd"/>
            <w:r w:rsidRPr="00D861EA">
              <w:rPr>
                <w:rFonts w:ascii="Arial" w:hAnsi="Arial" w:cs="Arial"/>
              </w:rPr>
              <w:t xml:space="preserve"> </w:t>
            </w:r>
            <w:proofErr w:type="spellStart"/>
            <w:r w:rsidRPr="00D861EA">
              <w:rPr>
                <w:rFonts w:ascii="Arial" w:hAnsi="Arial" w:cs="Arial"/>
              </w:rPr>
              <w:t>Produkte</w:t>
            </w:r>
            <w:proofErr w:type="spellEnd"/>
            <w:r w:rsidRPr="00D861EA">
              <w:rPr>
                <w:rFonts w:ascii="Arial" w:hAnsi="Arial" w:cs="Arial"/>
              </w:rPr>
              <w:t xml:space="preserve"> GmbH)      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E42F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1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reinhard.kreiling@clariant.com</w:t>
              </w:r>
            </w:hyperlink>
          </w:p>
        </w:tc>
      </w:tr>
      <w:tr w:rsidR="002A7AB0" w14:paraId="3EC7CD60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D3B2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MHLW/PMDA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497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Akihiko Hirose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EAF4B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2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hirose@nihs.go.jp</w:t>
              </w:r>
            </w:hyperlink>
          </w:p>
        </w:tc>
      </w:tr>
      <w:tr w:rsidR="002A7AB0" w14:paraId="4D09E3DC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C2E8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MHLW/PMDA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7E864" w14:textId="77777777" w:rsidR="002A7AB0" w:rsidRPr="00D861EA" w:rsidRDefault="002A7AB0">
            <w:pPr>
              <w:rPr>
                <w:rFonts w:ascii="Arial" w:hAnsi="Arial" w:cs="Arial"/>
                <w:b/>
              </w:rPr>
            </w:pPr>
            <w:r w:rsidRPr="00D861EA">
              <w:rPr>
                <w:rFonts w:ascii="Arial" w:hAnsi="Arial" w:cs="Arial"/>
                <w:b/>
              </w:rPr>
              <w:t>Hajime Kojima *Co-Chair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2151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3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h-kojima@nihs.go.jp</w:t>
              </w:r>
            </w:hyperlink>
          </w:p>
        </w:tc>
      </w:tr>
      <w:tr w:rsidR="002A7AB0" w14:paraId="15CF70F6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5B0C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C92F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Masato Hatao (JCIA)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924D" w14:textId="77777777" w:rsidR="002A7AB0" w:rsidRPr="00D861EA" w:rsidRDefault="002A7AB0">
            <w:pPr>
              <w:rPr>
                <w:rStyle w:val="Hyperlink"/>
                <w:rFonts w:ascii="Arial" w:hAnsi="Arial" w:cs="Arial"/>
                <w:color w:val="auto"/>
                <w:u w:val="none"/>
              </w:rPr>
            </w:pPr>
            <w:r w:rsidRPr="00D861EA">
              <w:rPr>
                <w:rStyle w:val="Hyperlink"/>
                <w:rFonts w:ascii="Arial" w:hAnsi="Arial" w:cs="Arial"/>
                <w:color w:val="auto"/>
                <w:u w:val="none"/>
              </w:rPr>
              <w:t>hatao@jcia.org</w:t>
            </w:r>
          </w:p>
        </w:tc>
      </w:tr>
      <w:tr w:rsidR="002A7AB0" w14:paraId="1C3EFB03" w14:textId="77777777" w:rsidTr="002A7AB0">
        <w:trPr>
          <w:trHeight w:val="323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50CD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1B498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Yutaka Kasai (Kao)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092E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4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kasai.yutaka@kao.co.jp</w:t>
              </w:r>
            </w:hyperlink>
          </w:p>
        </w:tc>
      </w:tr>
      <w:tr w:rsidR="00D861EA" w14:paraId="0627ACB4" w14:textId="77777777" w:rsidTr="0082281E">
        <w:trPr>
          <w:trHeight w:val="323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AEA8" w14:textId="53B8DB77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15D3" w14:textId="2F86EA0A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Tetsuya Kambe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A1014" w14:textId="65CD5387" w:rsidR="00D861EA" w:rsidRPr="00D861EA" w:rsidRDefault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kambe@jcia.org</w:t>
            </w:r>
          </w:p>
        </w:tc>
      </w:tr>
      <w:tr w:rsidR="002A7AB0" w14:paraId="5251A326" w14:textId="77777777" w:rsidTr="002A7AB0">
        <w:trPr>
          <w:trHeight w:val="323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FF35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US FDA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05F69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Rajeshwar Verma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F9BE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Rajeshwar.Verma@fda.hhs.gov</w:t>
            </w:r>
          </w:p>
        </w:tc>
      </w:tr>
      <w:tr w:rsidR="002A7AB0" w14:paraId="2EC62A51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BA54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ICMAD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F3F8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Craig Weiss (Cosmetic Product Testing Co.)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04790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5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crweiss@cptclabs.com</w:t>
              </w:r>
            </w:hyperlink>
          </w:p>
        </w:tc>
      </w:tr>
      <w:tr w:rsidR="002A7AB0" w14:paraId="51212C78" w14:textId="77777777" w:rsidTr="002A7AB0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3873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PCPC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5126" w14:textId="77777777" w:rsidR="002A7AB0" w:rsidRPr="00D861EA" w:rsidRDefault="002A7AB0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Jay Ansell   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1C937" w14:textId="77777777" w:rsidR="002A7AB0" w:rsidRPr="00D861EA" w:rsidRDefault="00764B77">
            <w:pPr>
              <w:rPr>
                <w:rFonts w:ascii="Arial" w:hAnsi="Arial" w:cs="Arial"/>
              </w:rPr>
            </w:pPr>
            <w:hyperlink r:id="rId16" w:history="1">
              <w:r w:rsidR="002A7AB0" w:rsidRPr="00D861EA">
                <w:rPr>
                  <w:rStyle w:val="Hyperlink"/>
                  <w:rFonts w:ascii="Arial" w:hAnsi="Arial" w:cs="Arial"/>
                  <w:color w:val="auto"/>
                  <w:u w:val="none"/>
                </w:rPr>
                <w:t>ansellj@personalcarecouncil.org</w:t>
              </w:r>
            </w:hyperlink>
          </w:p>
        </w:tc>
      </w:tr>
      <w:tr w:rsidR="00D861EA" w14:paraId="000D1B2D" w14:textId="77777777" w:rsidTr="00D861EA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DF13" w14:textId="27D5F9E8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Taiwan FDA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8976" w14:textId="12BA10E1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 xml:space="preserve">Chia-Jung, Chang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820" w14:textId="07264855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ccj0920@fda.gov.tw</w:t>
            </w:r>
          </w:p>
        </w:tc>
      </w:tr>
      <w:tr w:rsidR="00D861EA" w14:paraId="7F19B82B" w14:textId="77777777" w:rsidTr="00D861EA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4CAA" w14:textId="7396EE4D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Taiwan FDA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DBE5" w14:textId="62B18805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 xml:space="preserve">Han-Sheng Chien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A1ED" w14:textId="4FBC08EC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protein06@fda.gov.tw</w:t>
            </w:r>
          </w:p>
        </w:tc>
      </w:tr>
      <w:tr w:rsidR="00D861EA" w14:paraId="15CFADBB" w14:textId="77777777" w:rsidTr="00D861EA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DBA6" w14:textId="0040FC95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Taiwan FDA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3775" w14:textId="5B48A178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Yin Chu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80A3" w14:textId="0C675DD3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ashley@fda.gov.tw</w:t>
            </w:r>
          </w:p>
        </w:tc>
      </w:tr>
      <w:tr w:rsidR="00D861EA" w14:paraId="1A98EECB" w14:textId="77777777" w:rsidTr="00D861EA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6419" w14:textId="2EB33C33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TWCIA (Taiwan)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189" w14:textId="2D193B4F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Chien Yang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FF11" w14:textId="3C0503D1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k77982@kao.com.tw</w:t>
            </w:r>
          </w:p>
        </w:tc>
      </w:tr>
      <w:tr w:rsidR="00D861EA" w14:paraId="4F789304" w14:textId="77777777" w:rsidTr="00D861EA"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B3AF" w14:textId="41FC4DD5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TWCIA (Taiwan)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2E57" w14:textId="277032A8" w:rsidR="00D861EA" w:rsidRPr="00D861EA" w:rsidRDefault="00D861EA" w:rsidP="00D861EA">
            <w:pPr>
              <w:rPr>
                <w:rFonts w:ascii="Arial" w:hAnsi="Arial" w:cs="Arial"/>
              </w:rPr>
            </w:pPr>
            <w:proofErr w:type="spellStart"/>
            <w:r w:rsidRPr="00D861EA">
              <w:rPr>
                <w:rFonts w:ascii="Arial" w:hAnsi="Arial" w:cs="Arial"/>
              </w:rPr>
              <w:t>Ya</w:t>
            </w:r>
            <w:proofErr w:type="spellEnd"/>
            <w:r w:rsidRPr="00D861EA">
              <w:rPr>
                <w:rFonts w:ascii="Arial" w:hAnsi="Arial" w:cs="Arial"/>
              </w:rPr>
              <w:t>-Chi, Chan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3C8" w14:textId="165426AF" w:rsidR="00D861EA" w:rsidRPr="00D861EA" w:rsidRDefault="00D861EA" w:rsidP="00D861EA">
            <w:pPr>
              <w:rPr>
                <w:rFonts w:ascii="Arial" w:hAnsi="Arial" w:cs="Arial"/>
              </w:rPr>
            </w:pPr>
            <w:r w:rsidRPr="00D861EA">
              <w:rPr>
                <w:rFonts w:ascii="Arial" w:hAnsi="Arial" w:cs="Arial"/>
              </w:rPr>
              <w:t>ychan@kao.com.tw</w:t>
            </w:r>
          </w:p>
        </w:tc>
      </w:tr>
    </w:tbl>
    <w:p w14:paraId="46D89C8D" w14:textId="77777777" w:rsidR="00F07CF8" w:rsidRDefault="00F07CF8" w:rsidP="002A7AB0"/>
    <w:sectPr w:rsidR="00F07C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26966"/>
    <w:multiLevelType w:val="hybridMultilevel"/>
    <w:tmpl w:val="74E84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C0342DE"/>
    <w:multiLevelType w:val="hybridMultilevel"/>
    <w:tmpl w:val="F1B8BD02"/>
    <w:lvl w:ilvl="0" w:tplc="562E8C1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5B"/>
    <w:rsid w:val="00010A39"/>
    <w:rsid w:val="00042736"/>
    <w:rsid w:val="00065F39"/>
    <w:rsid w:val="00133C73"/>
    <w:rsid w:val="001A5AAD"/>
    <w:rsid w:val="002A7AB0"/>
    <w:rsid w:val="003671BB"/>
    <w:rsid w:val="003B0AC0"/>
    <w:rsid w:val="004C30E7"/>
    <w:rsid w:val="004E5198"/>
    <w:rsid w:val="00545A3D"/>
    <w:rsid w:val="00547477"/>
    <w:rsid w:val="005C33BA"/>
    <w:rsid w:val="00764B77"/>
    <w:rsid w:val="008D734B"/>
    <w:rsid w:val="009865F2"/>
    <w:rsid w:val="00A25A70"/>
    <w:rsid w:val="00AB0063"/>
    <w:rsid w:val="00AC3DDB"/>
    <w:rsid w:val="00BB673E"/>
    <w:rsid w:val="00D861EA"/>
    <w:rsid w:val="00E90FDD"/>
    <w:rsid w:val="00EF475B"/>
    <w:rsid w:val="00F07CF8"/>
    <w:rsid w:val="00F5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6EF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75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7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75B"/>
    <w:rPr>
      <w:rFonts w:ascii="Segoe UI" w:eastAsia="MS Mincho" w:hAnsi="Segoe UI" w:cs="Segoe UI"/>
      <w:sz w:val="18"/>
      <w:szCs w:val="18"/>
      <w:lang w:val="en-CA" w:eastAsia="ja-JP"/>
    </w:rPr>
  </w:style>
  <w:style w:type="paragraph" w:styleId="ListParagraph">
    <w:name w:val="List Paragraph"/>
    <w:basedOn w:val="Normal"/>
    <w:uiPriority w:val="34"/>
    <w:qFormat/>
    <w:rsid w:val="00F07C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7CF8"/>
    <w:rPr>
      <w:color w:val="0000FF"/>
      <w:u w:val="single"/>
    </w:rPr>
  </w:style>
  <w:style w:type="table" w:styleId="TableGrid">
    <w:name w:val="Table Grid"/>
    <w:basedOn w:val="TableNormal"/>
    <w:uiPriority w:val="59"/>
    <w:rsid w:val="00F07CF8"/>
    <w:pPr>
      <w:spacing w:after="0" w:line="240" w:lineRule="auto"/>
    </w:pPr>
    <w:rPr>
      <w:rFonts w:ascii="Calibri" w:eastAsia="Times New Roman" w:hAnsi="Calibri" w:cs="Times New Roman"/>
      <w:kern w:val="2"/>
      <w:sz w:val="21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30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0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0E7"/>
    <w:rPr>
      <w:rFonts w:ascii="Times New Roman" w:eastAsia="MS Mincho" w:hAnsi="Times New Roman" w:cs="Times New Roman"/>
      <w:sz w:val="24"/>
      <w:szCs w:val="24"/>
      <w:lang w:val="en-CA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0E7"/>
    <w:rPr>
      <w:rFonts w:ascii="Times New Roman" w:eastAsia="MS Mincho" w:hAnsi="Times New Roman" w:cs="Times New Roman"/>
      <w:b/>
      <w:bCs/>
      <w:sz w:val="24"/>
      <w:szCs w:val="24"/>
      <w:lang w:val="en-CA" w:eastAsia="ja-JP"/>
    </w:rPr>
  </w:style>
  <w:style w:type="character" w:styleId="Emphasis">
    <w:name w:val="Emphasis"/>
    <w:basedOn w:val="DefaultParagraphFont"/>
    <w:uiPriority w:val="20"/>
    <w:qFormat/>
    <w:rsid w:val="004C30E7"/>
    <w:rPr>
      <w:i/>
      <w:iCs/>
    </w:rPr>
  </w:style>
  <w:style w:type="paragraph" w:styleId="Revision">
    <w:name w:val="Revision"/>
    <w:hidden/>
    <w:uiPriority w:val="99"/>
    <w:semiHidden/>
    <w:rsid w:val="004C30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CA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75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CA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7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75B"/>
    <w:rPr>
      <w:rFonts w:ascii="Segoe UI" w:eastAsia="MS Mincho" w:hAnsi="Segoe UI" w:cs="Segoe UI"/>
      <w:sz w:val="18"/>
      <w:szCs w:val="18"/>
      <w:lang w:val="en-CA" w:eastAsia="ja-JP"/>
    </w:rPr>
  </w:style>
  <w:style w:type="paragraph" w:styleId="ListParagraph">
    <w:name w:val="List Paragraph"/>
    <w:basedOn w:val="Normal"/>
    <w:uiPriority w:val="34"/>
    <w:qFormat/>
    <w:rsid w:val="00F07C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07CF8"/>
    <w:rPr>
      <w:color w:val="0000FF"/>
      <w:u w:val="single"/>
    </w:rPr>
  </w:style>
  <w:style w:type="table" w:styleId="TableGrid">
    <w:name w:val="Table Grid"/>
    <w:basedOn w:val="TableNormal"/>
    <w:uiPriority w:val="59"/>
    <w:rsid w:val="00F07CF8"/>
    <w:pPr>
      <w:spacing w:after="0" w:line="240" w:lineRule="auto"/>
    </w:pPr>
    <w:rPr>
      <w:rFonts w:ascii="Calibri" w:eastAsia="Times New Roman" w:hAnsi="Calibri" w:cs="Times New Roman"/>
      <w:kern w:val="2"/>
      <w:sz w:val="21"/>
      <w:lang w:val="en-US"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C30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0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0E7"/>
    <w:rPr>
      <w:rFonts w:ascii="Times New Roman" w:eastAsia="MS Mincho" w:hAnsi="Times New Roman" w:cs="Times New Roman"/>
      <w:sz w:val="24"/>
      <w:szCs w:val="24"/>
      <w:lang w:val="en-CA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0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0E7"/>
    <w:rPr>
      <w:rFonts w:ascii="Times New Roman" w:eastAsia="MS Mincho" w:hAnsi="Times New Roman" w:cs="Times New Roman"/>
      <w:b/>
      <w:bCs/>
      <w:sz w:val="24"/>
      <w:szCs w:val="24"/>
      <w:lang w:val="en-CA" w:eastAsia="ja-JP"/>
    </w:rPr>
  </w:style>
  <w:style w:type="character" w:styleId="Emphasis">
    <w:name w:val="Emphasis"/>
    <w:basedOn w:val="DefaultParagraphFont"/>
    <w:uiPriority w:val="20"/>
    <w:qFormat/>
    <w:rsid w:val="004C30E7"/>
    <w:rPr>
      <w:i/>
      <w:iCs/>
    </w:rPr>
  </w:style>
  <w:style w:type="paragraph" w:styleId="Revision">
    <w:name w:val="Revision"/>
    <w:hidden/>
    <w:uiPriority w:val="99"/>
    <w:semiHidden/>
    <w:rsid w:val="004C30E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CA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rn.ps@pg.com" TargetMode="External"/><Relationship Id="rId13" Type="http://schemas.openxmlformats.org/officeDocument/2006/relationships/hyperlink" Target="mailto:h-kojima@nihs.go.j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eric.vaillancourt@hc-sc.gc.ca" TargetMode="External"/><Relationship Id="rId12" Type="http://schemas.openxmlformats.org/officeDocument/2006/relationships/hyperlink" Target="mailto:hirose@nihs.go.j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ansellj@personalcarecouncil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einhard.kreiling@clariant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crweiss@cptclabs.com" TargetMode="External"/><Relationship Id="rId10" Type="http://schemas.openxmlformats.org/officeDocument/2006/relationships/hyperlink" Target="mailto:rtaalman@cosmeticseurope.e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tthew.Dent@unilever.com" TargetMode="External"/><Relationship Id="rId14" Type="http://schemas.openxmlformats.org/officeDocument/2006/relationships/hyperlink" Target="mailto:kasai.yutaka@kao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72D8C-3DFE-4407-A1D7-1FE66586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4350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Health Canada - Santé Canada</Company>
  <LinksUpToDate>false</LinksUpToDate>
  <CharactersWithSpaces>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Dent, Matthew</dc:creator>
  <cp:lastModifiedBy>Health Canada</cp:lastModifiedBy>
  <cp:revision>2</cp:revision>
  <cp:lastPrinted>2016-04-04T09:23:00Z</cp:lastPrinted>
  <dcterms:created xsi:type="dcterms:W3CDTF">2019-06-28T14:57:00Z</dcterms:created>
  <dcterms:modified xsi:type="dcterms:W3CDTF">2019-06-28T14:57:00Z</dcterms:modified>
</cp:coreProperties>
</file>