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0C2B1" w14:textId="77777777" w:rsidR="00B57506" w:rsidRPr="00B57506" w:rsidRDefault="00B57506" w:rsidP="00B57506">
      <w:pPr>
        <w:rPr>
          <w:b/>
          <w:bCs/>
          <w:lang w:eastAsia="ja-JP"/>
        </w:rPr>
      </w:pPr>
      <w:r w:rsidRPr="00B57506">
        <w:rPr>
          <w:rFonts w:hint="eastAsia"/>
          <w:b/>
          <w:bCs/>
          <w:lang w:eastAsia="ja-JP"/>
        </w:rPr>
        <w:t>化粧品の適正包装規則</w:t>
      </w:r>
    </w:p>
    <w:p w14:paraId="72E9BD5D" w14:textId="77777777" w:rsidR="00B57506" w:rsidRPr="00B57506" w:rsidRDefault="00B57506" w:rsidP="00B57506">
      <w:pPr>
        <w:jc w:val="right"/>
        <w:rPr>
          <w:rFonts w:hint="eastAsia"/>
          <w:lang w:eastAsia="ja-JP"/>
        </w:rPr>
      </w:pPr>
      <w:r w:rsidRPr="00B57506">
        <w:rPr>
          <w:rFonts w:hint="eastAsia"/>
          <w:lang w:eastAsia="ja-JP"/>
        </w:rPr>
        <w:t>昭和51年7月9日 公正取引委員</w:t>
      </w:r>
      <w:r w:rsidRPr="00B57506">
        <w:rPr>
          <w:rFonts w:ascii="새굴림" w:eastAsia="새굴림" w:hAnsi="새굴림" w:cs="새굴림" w:hint="eastAsia"/>
          <w:lang w:eastAsia="ja-JP"/>
        </w:rPr>
        <w:t>会</w:t>
      </w:r>
      <w:r w:rsidRPr="00B57506">
        <w:rPr>
          <w:rFonts w:ascii="맑은 고딕" w:eastAsia="맑은 고딕" w:hAnsi="맑은 고딕" w:cs="맑은 고딕" w:hint="eastAsia"/>
          <w:lang w:eastAsia="ja-JP"/>
        </w:rPr>
        <w:t>承認</w:t>
      </w:r>
    </w:p>
    <w:p w14:paraId="0C129A6A" w14:textId="77777777" w:rsidR="00B57506" w:rsidRDefault="00B57506" w:rsidP="00B57506">
      <w:pPr>
        <w:jc w:val="right"/>
        <w:rPr>
          <w:rFonts w:ascii="맑은 고딕" w:eastAsia="맑은 고딕" w:hAnsi="맑은 고딕" w:cs="맑은 고딕"/>
        </w:rPr>
      </w:pPr>
      <w:r w:rsidRPr="00B57506">
        <w:rPr>
          <w:rFonts w:ascii="새굴림" w:eastAsia="새굴림" w:hAnsi="새굴림" w:cs="새굴림" w:hint="eastAsia"/>
          <w:lang w:eastAsia="zh-TW"/>
        </w:rPr>
        <w:t>変</w:t>
      </w:r>
      <w:r w:rsidRPr="00B57506">
        <w:rPr>
          <w:rFonts w:ascii="맑은 고딕" w:eastAsia="맑은 고딕" w:hAnsi="맑은 고딕" w:cs="맑은 고딕" w:hint="eastAsia"/>
          <w:lang w:eastAsia="zh-TW"/>
        </w:rPr>
        <w:t>更</w:t>
      </w:r>
      <w:r w:rsidRPr="00B57506">
        <w:rPr>
          <w:rFonts w:hint="eastAsia"/>
          <w:lang w:eastAsia="zh-TW"/>
        </w:rPr>
        <w:t xml:space="preserve"> 平成13年3月12日 公正取引委員</w:t>
      </w:r>
      <w:r w:rsidRPr="00B57506">
        <w:rPr>
          <w:rFonts w:ascii="새굴림" w:eastAsia="새굴림" w:hAnsi="새굴림" w:cs="새굴림" w:hint="eastAsia"/>
          <w:lang w:eastAsia="zh-TW"/>
        </w:rPr>
        <w:t>会</w:t>
      </w:r>
      <w:r w:rsidRPr="00B57506">
        <w:rPr>
          <w:rFonts w:ascii="맑은 고딕" w:eastAsia="맑은 고딕" w:hAnsi="맑은 고딕" w:cs="맑은 고딕" w:hint="eastAsia"/>
          <w:lang w:eastAsia="zh-TW"/>
        </w:rPr>
        <w:t>承認</w:t>
      </w:r>
    </w:p>
    <w:p w14:paraId="05B7B2F8" w14:textId="77777777" w:rsidR="00B57506" w:rsidRPr="00B57506" w:rsidRDefault="00B57506" w:rsidP="00B57506">
      <w:pPr>
        <w:jc w:val="right"/>
        <w:rPr>
          <w:rFonts w:hint="eastAsia"/>
        </w:rPr>
      </w:pPr>
    </w:p>
    <w:p w14:paraId="40BA9146" w14:textId="77777777" w:rsidR="00B57506" w:rsidRPr="00B57506" w:rsidRDefault="00B57506" w:rsidP="00B57506">
      <w:pPr>
        <w:rPr>
          <w:rFonts w:hint="eastAsia"/>
          <w:lang w:eastAsia="ja-JP"/>
        </w:rPr>
      </w:pPr>
      <w:r w:rsidRPr="00B57506">
        <w:rPr>
          <w:rFonts w:hint="eastAsia"/>
          <w:lang w:eastAsia="ja-JP"/>
        </w:rPr>
        <w:t>化粧品の表示に</w:t>
      </w:r>
      <w:r w:rsidRPr="00B57506">
        <w:rPr>
          <w:rFonts w:ascii="새굴림" w:eastAsia="새굴림" w:hAnsi="새굴림" w:cs="새굴림" w:hint="eastAsia"/>
          <w:lang w:eastAsia="ja-JP"/>
        </w:rPr>
        <w:t>関</w:t>
      </w:r>
      <w:r w:rsidRPr="00B57506">
        <w:rPr>
          <w:rFonts w:ascii="맑은 고딕" w:eastAsia="맑은 고딕" w:hAnsi="맑은 고딕" w:cs="맑은 고딕" w:hint="eastAsia"/>
          <w:lang w:eastAsia="ja-JP"/>
        </w:rPr>
        <w:t>する公正競</w:t>
      </w:r>
      <w:r w:rsidRPr="00B57506">
        <w:rPr>
          <w:rFonts w:ascii="새굴림" w:eastAsia="새굴림" w:hAnsi="새굴림" w:cs="새굴림" w:hint="eastAsia"/>
          <w:lang w:eastAsia="ja-JP"/>
        </w:rPr>
        <w:t>争</w:t>
      </w:r>
      <w:r w:rsidRPr="00B57506">
        <w:rPr>
          <w:rFonts w:ascii="맑은 고딕" w:eastAsia="맑은 고딕" w:hAnsi="맑은 고딕" w:cs="맑은 고딕" w:hint="eastAsia"/>
          <w:lang w:eastAsia="ja-JP"/>
        </w:rPr>
        <w:t>規約第</w:t>
      </w:r>
      <w:r w:rsidRPr="00B57506">
        <w:rPr>
          <w:rFonts w:hint="eastAsia"/>
          <w:lang w:eastAsia="ja-JP"/>
        </w:rPr>
        <w:t>11</w:t>
      </w:r>
      <w:r w:rsidRPr="00B57506">
        <w:rPr>
          <w:rFonts w:ascii="새굴림" w:eastAsia="새굴림" w:hAnsi="새굴림" w:cs="새굴림" w:hint="eastAsia"/>
          <w:lang w:eastAsia="ja-JP"/>
        </w:rPr>
        <w:t>条</w:t>
      </w:r>
      <w:r w:rsidRPr="00B57506">
        <w:rPr>
          <w:rFonts w:ascii="맑은 고딕" w:eastAsia="맑은 고딕" w:hAnsi="맑은 고딕" w:cs="맑은 고딕" w:hint="eastAsia"/>
          <w:lang w:eastAsia="ja-JP"/>
        </w:rPr>
        <w:t>の規定（過大包装の禁止）を</w:t>
      </w:r>
      <w:r w:rsidRPr="00B57506">
        <w:rPr>
          <w:rFonts w:ascii="새굴림" w:eastAsia="새굴림" w:hAnsi="새굴림" w:cs="새굴림" w:hint="eastAsia"/>
          <w:lang w:eastAsia="ja-JP"/>
        </w:rPr>
        <w:t>実</w:t>
      </w:r>
      <w:r w:rsidRPr="00B57506">
        <w:rPr>
          <w:rFonts w:ascii="맑은 고딕" w:eastAsia="맑은 고딕" w:hAnsi="맑은 고딕" w:cs="맑은 고딕" w:hint="eastAsia"/>
          <w:lang w:eastAsia="ja-JP"/>
        </w:rPr>
        <w:t>施するため、化粧品の適性包装規則を次のとおり定める。</w:t>
      </w:r>
    </w:p>
    <w:p w14:paraId="5064102E" w14:textId="77777777" w:rsidR="00B57506" w:rsidRPr="00B57506" w:rsidRDefault="00B57506" w:rsidP="00B57506">
      <w:pPr>
        <w:rPr>
          <w:rFonts w:hint="eastAsia"/>
          <w:b/>
          <w:bCs/>
          <w:lang w:eastAsia="ja-JP"/>
        </w:rPr>
      </w:pPr>
      <w:r w:rsidRPr="00B57506">
        <w:rPr>
          <w:rFonts w:hint="eastAsia"/>
          <w:b/>
          <w:bCs/>
          <w:lang w:eastAsia="ja-JP"/>
        </w:rPr>
        <w:t>直接の容器の基準</w:t>
      </w:r>
    </w:p>
    <w:p w14:paraId="29CDA82D" w14:textId="77777777" w:rsidR="00B57506" w:rsidRPr="00B57506" w:rsidRDefault="00B57506" w:rsidP="00B57506">
      <w:pPr>
        <w:rPr>
          <w:rFonts w:hint="eastAsia"/>
          <w:lang w:eastAsia="ja-JP"/>
        </w:rPr>
      </w:pPr>
      <w:r w:rsidRPr="00B57506">
        <w:rPr>
          <w:rFonts w:hint="eastAsia"/>
          <w:lang w:eastAsia="ja-JP"/>
        </w:rPr>
        <w:t>第1</w:t>
      </w:r>
      <w:r w:rsidRPr="00B57506">
        <w:rPr>
          <w:rFonts w:ascii="새굴림" w:eastAsia="새굴림" w:hAnsi="새굴림" w:cs="새굴림" w:hint="eastAsia"/>
          <w:lang w:eastAsia="ja-JP"/>
        </w:rPr>
        <w:t>条</w:t>
      </w:r>
    </w:p>
    <w:p w14:paraId="51B99CAA" w14:textId="77777777" w:rsidR="00B57506" w:rsidRPr="00B57506" w:rsidRDefault="00B57506" w:rsidP="00B57506">
      <w:pPr>
        <w:rPr>
          <w:rFonts w:hint="eastAsia"/>
          <w:lang w:eastAsia="ja-JP"/>
        </w:rPr>
      </w:pPr>
      <w:r w:rsidRPr="00B57506">
        <w:rPr>
          <w:rFonts w:hint="eastAsia"/>
          <w:lang w:eastAsia="ja-JP"/>
        </w:rPr>
        <w:t>化粧品の直接の容器は、次に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げる基準に則した適正なものでなければならない。</w:t>
      </w:r>
    </w:p>
    <w:p w14:paraId="58BC0930" w14:textId="77777777" w:rsidR="00B57506" w:rsidRPr="00B57506" w:rsidRDefault="00B57506" w:rsidP="00B57506">
      <w:pPr>
        <w:numPr>
          <w:ilvl w:val="0"/>
          <w:numId w:val="1"/>
        </w:numPr>
        <w:rPr>
          <w:rFonts w:hint="eastAsia"/>
          <w:lang w:eastAsia="ja-JP"/>
        </w:rPr>
      </w:pPr>
      <w:r w:rsidRPr="00B57506">
        <w:rPr>
          <w:rFonts w:hint="eastAsia"/>
          <w:lang w:eastAsia="ja-JP"/>
        </w:rPr>
        <w:t>外容積に</w:t>
      </w:r>
      <w:r w:rsidRPr="00B57506">
        <w:rPr>
          <w:rFonts w:ascii="새굴림" w:eastAsia="새굴림" w:hAnsi="새굴림" w:cs="새굴림" w:hint="eastAsia"/>
          <w:lang w:eastAsia="ja-JP"/>
        </w:rPr>
        <w:t>対</w:t>
      </w:r>
      <w:r w:rsidRPr="00B57506">
        <w:rPr>
          <w:rFonts w:ascii="맑은 고딕" w:eastAsia="맑은 고딕" w:hAnsi="맑은 고딕" w:cs="맑은 고딕" w:hint="eastAsia"/>
          <w:lang w:eastAsia="ja-JP"/>
        </w:rPr>
        <w:t>する</w:t>
      </w:r>
      <w:r w:rsidRPr="00B57506">
        <w:rPr>
          <w:rFonts w:ascii="새굴림" w:eastAsia="새굴림" w:hAnsi="새굴림" w:cs="새굴림" w:hint="eastAsia"/>
          <w:lang w:eastAsia="ja-JP"/>
        </w:rPr>
        <w:t>内</w:t>
      </w:r>
      <w:r w:rsidRPr="00B57506">
        <w:rPr>
          <w:rFonts w:ascii="맑은 고딕" w:eastAsia="맑은 고딕" w:hAnsi="맑은 고딕" w:cs="맑은 고딕" w:hint="eastAsia"/>
          <w:lang w:eastAsia="ja-JP"/>
        </w:rPr>
        <w:t>容物体積の割合は</w:t>
      </w:r>
      <w:r w:rsidRPr="00B57506">
        <w:rPr>
          <w:rFonts w:hint="eastAsia"/>
          <w:lang w:eastAsia="ja-JP"/>
        </w:rPr>
        <w:t>40％を下ってはならず、かつ、40％を下らない場合であっても、なお容器の形態又は材質等に</w:t>
      </w:r>
      <w:r w:rsidRPr="00B57506">
        <w:rPr>
          <w:rFonts w:ascii="새굴림" w:eastAsia="새굴림" w:hAnsi="새굴림" w:cs="새굴림" w:hint="eastAsia"/>
          <w:lang w:eastAsia="ja-JP"/>
        </w:rPr>
        <w:t>応</w:t>
      </w:r>
      <w:r w:rsidRPr="00B57506">
        <w:rPr>
          <w:rFonts w:ascii="맑은 고딕" w:eastAsia="맑은 고딕" w:hAnsi="맑은 고딕" w:cs="맑은 고딕" w:hint="eastAsia"/>
          <w:lang w:eastAsia="ja-JP"/>
        </w:rPr>
        <w:t>じて適正な割合でなければならない。</w:t>
      </w:r>
      <w:r w:rsidRPr="00B57506">
        <w:rPr>
          <w:rFonts w:hint="eastAsia"/>
          <w:lang w:eastAsia="ja-JP"/>
        </w:rPr>
        <w:t xml:space="preserve"> ただし、次に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げるものについては</w:t>
      </w:r>
      <w:r w:rsidRPr="00B57506">
        <w:rPr>
          <w:rFonts w:hint="eastAsia"/>
          <w:lang w:eastAsia="ja-JP"/>
        </w:rPr>
        <w:t>30％以上とすることができる</w:t>
      </w:r>
    </w:p>
    <w:p w14:paraId="40B951B3" w14:textId="77777777" w:rsidR="00B57506" w:rsidRPr="00B57506" w:rsidRDefault="00B57506" w:rsidP="00B57506">
      <w:pPr>
        <w:numPr>
          <w:ilvl w:val="1"/>
          <w:numId w:val="1"/>
        </w:numPr>
        <w:rPr>
          <w:rFonts w:hint="eastAsia"/>
          <w:lang w:eastAsia="ja-JP"/>
        </w:rPr>
      </w:pPr>
      <w:r w:rsidRPr="00B57506">
        <w:rPr>
          <w:rFonts w:hint="eastAsia"/>
          <w:lang w:eastAsia="ja-JP"/>
        </w:rPr>
        <w:t>プレス製法又はプレスアンドブロウ製法によるガラス製の容器及び成型技術上二重成型が必要なプラスチック容器であって、何れも</w:t>
      </w:r>
      <w:r w:rsidRPr="00B57506">
        <w:rPr>
          <w:rFonts w:ascii="새굴림" w:eastAsia="새굴림" w:hAnsi="새굴림" w:cs="새굴림" w:hint="eastAsia"/>
          <w:lang w:eastAsia="ja-JP"/>
        </w:rPr>
        <w:t>内</w:t>
      </w:r>
      <w:r w:rsidRPr="00B57506">
        <w:rPr>
          <w:rFonts w:ascii="맑은 고딕" w:eastAsia="맑은 고딕" w:hAnsi="맑은 고딕" w:cs="맑은 고딕" w:hint="eastAsia"/>
          <w:lang w:eastAsia="ja-JP"/>
        </w:rPr>
        <w:t>容量が</w:t>
      </w:r>
      <w:r w:rsidRPr="00B57506">
        <w:rPr>
          <w:rFonts w:hint="eastAsia"/>
          <w:lang w:eastAsia="ja-JP"/>
        </w:rPr>
        <w:t>40グラム以下のもの</w:t>
      </w:r>
    </w:p>
    <w:p w14:paraId="20802303" w14:textId="361AA37B" w:rsidR="00B57506" w:rsidRPr="00B57506" w:rsidRDefault="00B57506" w:rsidP="00B57506">
      <w:pPr>
        <w:numPr>
          <w:ilvl w:val="1"/>
          <w:numId w:val="1"/>
        </w:numPr>
        <w:rPr>
          <w:rFonts w:hint="eastAsia"/>
        </w:rPr>
      </w:pPr>
      <w:r w:rsidRPr="00B57506">
        <w:rPr>
          <w:rFonts w:hint="eastAsia"/>
          <w:lang w:eastAsia="ja-JP"/>
        </w:rPr>
        <w:t>容器の形態上肉厚となることがやむを得ないものであって、次の</w:t>
      </w:r>
      <w:r w:rsidRPr="00B57506">
        <w:rPr>
          <w:rFonts w:ascii="새굴림" w:eastAsia="새굴림" w:hAnsi="새굴림" w:cs="새굴림" w:hint="eastAsia"/>
          <w:lang w:eastAsia="ja-JP"/>
        </w:rPr>
        <w:t>図</w:t>
      </w:r>
      <w:r w:rsidRPr="00B57506">
        <w:rPr>
          <w:rFonts w:ascii="맑은 고딕" w:eastAsia="맑은 고딕" w:hAnsi="맑은 고딕" w:cs="맑은 고딕" w:hint="eastAsia"/>
          <w:lang w:eastAsia="ja-JP"/>
        </w:rPr>
        <w:t>に示すような容器（類似するものを含む。</w:t>
      </w:r>
      <w:r w:rsidRPr="00B57506">
        <w:rPr>
          <w:rFonts w:ascii="맑은 고딕" w:eastAsia="맑은 고딕" w:hAnsi="맑은 고딕" w:cs="맑은 고딕" w:hint="eastAsia"/>
        </w:rPr>
        <w:t>）</w:t>
      </w:r>
      <w:proofErr w:type="spellStart"/>
      <w:r w:rsidRPr="00B57506">
        <w:rPr>
          <w:rFonts w:ascii="맑은 고딕" w:eastAsia="맑은 고딕" w:hAnsi="맑은 고딕" w:cs="맑은 고딕" w:hint="eastAsia"/>
        </w:rPr>
        <w:t>であること</w:t>
      </w:r>
      <w:proofErr w:type="spellEnd"/>
      <w:r w:rsidRPr="00B57506">
        <w:rPr>
          <w:rFonts w:ascii="맑은 고딕" w:eastAsia="맑은 고딕" w:hAnsi="맑은 고딕" w:cs="맑은 고딕" w:hint="eastAsia"/>
        </w:rPr>
        <w:t>。</w:t>
      </w:r>
      <w:r w:rsidRPr="00B57506">
        <w:drawing>
          <wp:inline distT="0" distB="0" distL="0" distR="0" wp14:anchorId="5D10A29A" wp14:editId="361A9D8B">
            <wp:extent cx="4762500" cy="1724025"/>
            <wp:effectExtent l="0" t="0" r="0" b="9525"/>
            <wp:docPr id="1614765117" name="그림 10" descr="化粧品の適正包装規則　第1条　化粧品の直接の容器の基準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化粧品の適正包装規則　第1条　化粧品の直接の容器の基準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724025"/>
                    </a:xfrm>
                    <a:prstGeom prst="rect">
                      <a:avLst/>
                    </a:prstGeom>
                    <a:noFill/>
                    <a:ln>
                      <a:noFill/>
                    </a:ln>
                  </pic:spPr>
                </pic:pic>
              </a:graphicData>
            </a:graphic>
          </wp:inline>
        </w:drawing>
      </w:r>
    </w:p>
    <w:p w14:paraId="6ECBDB8A" w14:textId="77777777" w:rsidR="00B57506" w:rsidRPr="00B57506" w:rsidRDefault="00B57506" w:rsidP="00B57506">
      <w:pPr>
        <w:numPr>
          <w:ilvl w:val="0"/>
          <w:numId w:val="1"/>
        </w:numPr>
        <w:rPr>
          <w:rFonts w:hint="eastAsia"/>
          <w:lang w:eastAsia="ja-JP"/>
        </w:rPr>
      </w:pPr>
      <w:r w:rsidRPr="00B57506">
        <w:rPr>
          <w:rFonts w:hint="eastAsia"/>
          <w:lang w:eastAsia="ja-JP"/>
        </w:rPr>
        <w:t>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げるものは前</w:t>
      </w:r>
      <w:r w:rsidRPr="00B57506">
        <w:rPr>
          <w:rFonts w:ascii="새굴림" w:eastAsia="새굴림" w:hAnsi="새굴림" w:cs="새굴림" w:hint="eastAsia"/>
          <w:lang w:eastAsia="ja-JP"/>
        </w:rPr>
        <w:t>号</w:t>
      </w:r>
      <w:r w:rsidRPr="00B57506">
        <w:rPr>
          <w:rFonts w:ascii="맑은 고딕" w:eastAsia="맑은 고딕" w:hAnsi="맑은 고딕" w:cs="맑은 고딕" w:hint="eastAsia"/>
          <w:lang w:eastAsia="ja-JP"/>
        </w:rPr>
        <w:t>の基準の</w:t>
      </w:r>
      <w:r w:rsidRPr="00B57506">
        <w:rPr>
          <w:rFonts w:ascii="새굴림" w:eastAsia="새굴림" w:hAnsi="새굴림" w:cs="새굴림" w:hint="eastAsia"/>
          <w:lang w:eastAsia="ja-JP"/>
        </w:rPr>
        <w:t>数</w:t>
      </w:r>
      <w:r w:rsidRPr="00B57506">
        <w:rPr>
          <w:rFonts w:ascii="맑은 고딕" w:eastAsia="맑은 고딕" w:hAnsi="맑은 고딕" w:cs="맑은 고딕" w:hint="eastAsia"/>
          <w:lang w:eastAsia="ja-JP"/>
        </w:rPr>
        <w:t>値は適用しないが、過大容器とならないよう十分注意すること。</w:t>
      </w:r>
    </w:p>
    <w:p w14:paraId="1DB238D8" w14:textId="77777777" w:rsidR="00B57506" w:rsidRPr="00B57506" w:rsidRDefault="00B57506" w:rsidP="00B57506">
      <w:pPr>
        <w:numPr>
          <w:ilvl w:val="1"/>
          <w:numId w:val="1"/>
        </w:numPr>
        <w:rPr>
          <w:rFonts w:hint="eastAsia"/>
          <w:lang w:eastAsia="ja-JP"/>
        </w:rPr>
      </w:pPr>
      <w:r w:rsidRPr="00B57506">
        <w:rPr>
          <w:rFonts w:hint="eastAsia"/>
          <w:lang w:eastAsia="ja-JP"/>
        </w:rPr>
        <w:t>香水、オ</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デコロン類であって、特殊な形態にデザインされた容器が用いられているもの</w:t>
      </w:r>
    </w:p>
    <w:p w14:paraId="593B65BF" w14:textId="77777777" w:rsidR="00B57506" w:rsidRPr="00B57506" w:rsidRDefault="00B57506" w:rsidP="00B57506">
      <w:pPr>
        <w:numPr>
          <w:ilvl w:val="1"/>
          <w:numId w:val="1"/>
        </w:numPr>
        <w:rPr>
          <w:rFonts w:hint="eastAsia"/>
          <w:lang w:eastAsia="ja-JP"/>
        </w:rPr>
      </w:pPr>
      <w:r w:rsidRPr="00B57506">
        <w:rPr>
          <w:rFonts w:hint="eastAsia"/>
          <w:lang w:eastAsia="ja-JP"/>
        </w:rPr>
        <w:t>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クアップ化粧品類（口紅、眉目</w:t>
      </w:r>
      <w:r w:rsidRPr="00B57506">
        <w:rPr>
          <w:rFonts w:ascii="새굴림" w:eastAsia="새굴림" w:hAnsi="새굴림" w:cs="새굴림" w:hint="eastAsia"/>
          <w:lang w:eastAsia="ja-JP"/>
        </w:rPr>
        <w:t>頬</w:t>
      </w:r>
      <w:r w:rsidRPr="00B57506">
        <w:rPr>
          <w:rFonts w:ascii="맑은 고딕" w:eastAsia="맑은 고딕" w:hAnsi="맑은 고딕" w:cs="맑은 고딕" w:hint="eastAsia"/>
          <w:lang w:eastAsia="ja-JP"/>
        </w:rPr>
        <w:t>化粧料、美爪料、おしろい、ファンデ</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ション等）</w:t>
      </w:r>
    </w:p>
    <w:p w14:paraId="56BB41D4" w14:textId="77777777" w:rsidR="00B57506" w:rsidRPr="00B57506" w:rsidRDefault="00B57506" w:rsidP="00B57506">
      <w:pPr>
        <w:numPr>
          <w:ilvl w:val="1"/>
          <w:numId w:val="1"/>
        </w:numPr>
        <w:rPr>
          <w:rFonts w:hint="eastAsia"/>
          <w:lang w:eastAsia="ja-JP"/>
        </w:rPr>
      </w:pPr>
      <w:r w:rsidRPr="00B57506">
        <w:rPr>
          <w:rFonts w:hint="eastAsia"/>
          <w:lang w:eastAsia="ja-JP"/>
        </w:rPr>
        <w:lastRenderedPageBreak/>
        <w:t>その他</w:t>
      </w:r>
      <w:r w:rsidRPr="00B57506">
        <w:rPr>
          <w:rFonts w:ascii="새굴림" w:eastAsia="새굴림" w:hAnsi="새굴림" w:cs="새굴림" w:hint="eastAsia"/>
          <w:lang w:eastAsia="ja-JP"/>
        </w:rPr>
        <w:t>内</w:t>
      </w:r>
      <w:r w:rsidRPr="00B57506">
        <w:rPr>
          <w:rFonts w:ascii="맑은 고딕" w:eastAsia="맑은 고딕" w:hAnsi="맑은 고딕" w:cs="맑은 고딕" w:hint="eastAsia"/>
          <w:lang w:eastAsia="ja-JP"/>
        </w:rPr>
        <w:t>容量が</w:t>
      </w:r>
      <w:r w:rsidRPr="00B57506">
        <w:rPr>
          <w:rFonts w:hint="eastAsia"/>
          <w:lang w:eastAsia="ja-JP"/>
        </w:rPr>
        <w:t>30グラム又は30ミリリットル以下の小型化粧品</w:t>
      </w:r>
    </w:p>
    <w:p w14:paraId="68D93C01" w14:textId="77777777" w:rsidR="00B57506" w:rsidRPr="00B57506" w:rsidRDefault="00B57506" w:rsidP="00B57506">
      <w:pPr>
        <w:rPr>
          <w:rFonts w:hint="eastAsia"/>
          <w:b/>
          <w:bCs/>
          <w:lang w:eastAsia="ja-JP"/>
        </w:rPr>
      </w:pPr>
      <w:r w:rsidRPr="00B57506">
        <w:rPr>
          <w:rFonts w:hint="eastAsia"/>
          <w:b/>
          <w:bCs/>
          <w:lang w:eastAsia="ja-JP"/>
        </w:rPr>
        <w:t>外部の容器の基準</w:t>
      </w:r>
    </w:p>
    <w:p w14:paraId="70DFD1F8" w14:textId="77777777" w:rsidR="00B57506" w:rsidRPr="00B57506" w:rsidRDefault="00B57506" w:rsidP="00B57506">
      <w:pPr>
        <w:rPr>
          <w:rFonts w:hint="eastAsia"/>
          <w:lang w:eastAsia="ja-JP"/>
        </w:rPr>
      </w:pPr>
      <w:r w:rsidRPr="00B57506">
        <w:rPr>
          <w:rFonts w:hint="eastAsia"/>
          <w:lang w:eastAsia="ja-JP"/>
        </w:rPr>
        <w:t>第2</w:t>
      </w:r>
      <w:r w:rsidRPr="00B57506">
        <w:rPr>
          <w:rFonts w:ascii="새굴림" w:eastAsia="새굴림" w:hAnsi="새굴림" w:cs="새굴림" w:hint="eastAsia"/>
          <w:lang w:eastAsia="ja-JP"/>
        </w:rPr>
        <w:t>条</w:t>
      </w:r>
    </w:p>
    <w:p w14:paraId="55870E9A" w14:textId="77777777" w:rsidR="00B57506" w:rsidRPr="00B57506" w:rsidRDefault="00B57506" w:rsidP="00B57506">
      <w:pPr>
        <w:rPr>
          <w:rFonts w:hint="eastAsia"/>
          <w:lang w:eastAsia="ja-JP"/>
        </w:rPr>
      </w:pPr>
      <w:r w:rsidRPr="00B57506">
        <w:rPr>
          <w:rFonts w:hint="eastAsia"/>
          <w:lang w:eastAsia="ja-JP"/>
        </w:rPr>
        <w:t>化粧品の外部の容器は、次に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げる基準に則した適正なものでなければならない。</w:t>
      </w:r>
    </w:p>
    <w:p w14:paraId="39481F5C" w14:textId="77777777" w:rsidR="00B57506" w:rsidRPr="00B57506" w:rsidRDefault="00B57506" w:rsidP="00B57506">
      <w:pPr>
        <w:numPr>
          <w:ilvl w:val="0"/>
          <w:numId w:val="2"/>
        </w:numPr>
        <w:rPr>
          <w:rFonts w:hint="eastAsia"/>
          <w:lang w:eastAsia="ja-JP"/>
        </w:rPr>
      </w:pPr>
      <w:r w:rsidRPr="00B57506">
        <w:rPr>
          <w:rFonts w:hint="eastAsia"/>
          <w:lang w:eastAsia="ja-JP"/>
        </w:rPr>
        <w:t>直接の容器を更に外部の容器で包装する場合に、外部の容器と直接の容器との間に不必要な空間があってはならない。</w:t>
      </w:r>
    </w:p>
    <w:p w14:paraId="1EE7D81A" w14:textId="77777777" w:rsidR="00B57506" w:rsidRPr="00B57506" w:rsidRDefault="00B57506" w:rsidP="00B57506">
      <w:pPr>
        <w:numPr>
          <w:ilvl w:val="0"/>
          <w:numId w:val="2"/>
        </w:numPr>
        <w:rPr>
          <w:rFonts w:hint="eastAsia"/>
          <w:lang w:eastAsia="ja-JP"/>
        </w:rPr>
      </w:pPr>
      <w:r w:rsidRPr="00B57506">
        <w:rPr>
          <w:rFonts w:hint="eastAsia"/>
          <w:lang w:eastAsia="ja-JP"/>
        </w:rPr>
        <w:t>直接の容器を保護するため、緩衝材が必要なときは、ダンボ</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ルにあっては厚さが</w:t>
      </w:r>
      <w:r w:rsidRPr="00B57506">
        <w:rPr>
          <w:rFonts w:hint="eastAsia"/>
          <w:lang w:eastAsia="ja-JP"/>
        </w:rPr>
        <w:t>4ミリメ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トル以下、その他のものにあっては、公正取引協議</w:t>
      </w:r>
      <w:r w:rsidRPr="00B57506">
        <w:rPr>
          <w:rFonts w:ascii="새굴림" w:eastAsia="새굴림" w:hAnsi="새굴림" w:cs="새굴림" w:hint="eastAsia"/>
          <w:lang w:eastAsia="ja-JP"/>
        </w:rPr>
        <w:t>会</w:t>
      </w:r>
      <w:r w:rsidRPr="00B57506">
        <w:rPr>
          <w:rFonts w:ascii="맑은 고딕" w:eastAsia="맑은 고딕" w:hAnsi="맑은 고딕" w:cs="맑은 고딕" w:hint="eastAsia"/>
          <w:lang w:eastAsia="ja-JP"/>
        </w:rPr>
        <w:t>が、この規則に準じて定める基準に則したものについて使用することができる。</w:t>
      </w:r>
    </w:p>
    <w:p w14:paraId="3F5A2274" w14:textId="77777777" w:rsidR="00B57506" w:rsidRPr="00B57506" w:rsidRDefault="00B57506" w:rsidP="00B57506">
      <w:pPr>
        <w:numPr>
          <w:ilvl w:val="0"/>
          <w:numId w:val="2"/>
        </w:numPr>
        <w:rPr>
          <w:rFonts w:hint="eastAsia"/>
          <w:lang w:eastAsia="ja-JP"/>
        </w:rPr>
      </w:pPr>
      <w:r w:rsidRPr="00B57506">
        <w:rPr>
          <w:rFonts w:hint="eastAsia"/>
          <w:lang w:eastAsia="ja-JP"/>
        </w:rPr>
        <w:t>前</w:t>
      </w:r>
      <w:r w:rsidRPr="00B57506">
        <w:rPr>
          <w:rFonts w:ascii="새굴림" w:eastAsia="새굴림" w:hAnsi="새굴림" w:cs="새굴림" w:hint="eastAsia"/>
          <w:lang w:eastAsia="ja-JP"/>
        </w:rPr>
        <w:t>号</w:t>
      </w:r>
      <w:r w:rsidRPr="00B57506">
        <w:rPr>
          <w:rFonts w:ascii="맑은 고딕" w:eastAsia="맑은 고딕" w:hAnsi="맑은 고딕" w:cs="맑은 고딕" w:hint="eastAsia"/>
          <w:lang w:eastAsia="ja-JP"/>
        </w:rPr>
        <w:t>に規定する緩衝材を使用するため、包装工程上外部の容器との間に空間が生ずることとなる場合にあっては、包装技術上必要な限度において差支えない。</w:t>
      </w:r>
    </w:p>
    <w:p w14:paraId="7FE8A124" w14:textId="77777777" w:rsidR="00B57506" w:rsidRPr="00B57506" w:rsidRDefault="00B57506" w:rsidP="00B57506">
      <w:pPr>
        <w:numPr>
          <w:ilvl w:val="0"/>
          <w:numId w:val="2"/>
        </w:numPr>
        <w:rPr>
          <w:rFonts w:hint="eastAsia"/>
          <w:lang w:eastAsia="ja-JP"/>
        </w:rPr>
      </w:pPr>
      <w:r w:rsidRPr="00B57506">
        <w:rPr>
          <w:rFonts w:hint="eastAsia"/>
          <w:lang w:eastAsia="ja-JP"/>
        </w:rPr>
        <w:t>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げるのは前各</w:t>
      </w:r>
      <w:r w:rsidRPr="00B57506">
        <w:rPr>
          <w:rFonts w:ascii="새굴림" w:eastAsia="새굴림" w:hAnsi="새굴림" w:cs="새굴림" w:hint="eastAsia"/>
          <w:lang w:eastAsia="ja-JP"/>
        </w:rPr>
        <w:t>号</w:t>
      </w:r>
      <w:r w:rsidRPr="00B57506">
        <w:rPr>
          <w:rFonts w:ascii="맑은 고딕" w:eastAsia="맑은 고딕" w:hAnsi="맑은 고딕" w:cs="맑은 고딕" w:hint="eastAsia"/>
          <w:lang w:eastAsia="ja-JP"/>
        </w:rPr>
        <w:t>の基準は適用しないが、過大容器とならないよう十分注意すること。</w:t>
      </w:r>
    </w:p>
    <w:p w14:paraId="1A7ADC97" w14:textId="77777777" w:rsidR="00B57506" w:rsidRPr="00B57506" w:rsidRDefault="00B57506" w:rsidP="00B57506">
      <w:pPr>
        <w:numPr>
          <w:ilvl w:val="1"/>
          <w:numId w:val="2"/>
        </w:numPr>
        <w:rPr>
          <w:rFonts w:hint="eastAsia"/>
        </w:rPr>
      </w:pPr>
      <w:r w:rsidRPr="00B57506">
        <w:rPr>
          <w:rFonts w:hint="eastAsia"/>
        </w:rPr>
        <w:t>香水、オ</w:t>
      </w:r>
      <w:r w:rsidRPr="00B57506">
        <w:rPr>
          <w:rFonts w:ascii="Microsoft YaHei" w:eastAsia="Microsoft YaHei" w:hAnsi="Microsoft YaHei" w:cs="Microsoft YaHei" w:hint="eastAsia"/>
        </w:rPr>
        <w:t>ー</w:t>
      </w:r>
      <w:r w:rsidRPr="00B57506">
        <w:rPr>
          <w:rFonts w:ascii="맑은 고딕" w:eastAsia="맑은 고딕" w:hAnsi="맑은 고딕" w:cs="맑은 고딕" w:hint="eastAsia"/>
        </w:rPr>
        <w:t>デコロン類</w:t>
      </w:r>
    </w:p>
    <w:p w14:paraId="766D3FBB" w14:textId="77777777" w:rsidR="00B57506" w:rsidRPr="00B57506" w:rsidRDefault="00B57506" w:rsidP="00B57506">
      <w:pPr>
        <w:numPr>
          <w:ilvl w:val="1"/>
          <w:numId w:val="2"/>
        </w:numPr>
        <w:rPr>
          <w:rFonts w:hint="eastAsia"/>
          <w:lang w:eastAsia="ja-JP"/>
        </w:rPr>
      </w:pPr>
      <w:r w:rsidRPr="00B57506">
        <w:rPr>
          <w:rFonts w:hint="eastAsia"/>
          <w:lang w:eastAsia="ja-JP"/>
        </w:rPr>
        <w:t>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クアップ化粧品類（口紅、眉目</w:t>
      </w:r>
      <w:r w:rsidRPr="00B57506">
        <w:rPr>
          <w:rFonts w:ascii="새굴림" w:eastAsia="새굴림" w:hAnsi="새굴림" w:cs="새굴림" w:hint="eastAsia"/>
          <w:lang w:eastAsia="ja-JP"/>
        </w:rPr>
        <w:t>頬</w:t>
      </w:r>
      <w:r w:rsidRPr="00B57506">
        <w:rPr>
          <w:rFonts w:ascii="맑은 고딕" w:eastAsia="맑은 고딕" w:hAnsi="맑은 고딕" w:cs="맑은 고딕" w:hint="eastAsia"/>
          <w:lang w:eastAsia="ja-JP"/>
        </w:rPr>
        <w:t>化粧料、美爪料、おしろい、ファンデ</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ション等）のうち、コンパクトレフイル、眉目化粧料詰替等これらに類するもの</w:t>
      </w:r>
    </w:p>
    <w:p w14:paraId="5832CF96" w14:textId="77777777" w:rsidR="00B57506" w:rsidRPr="00B57506" w:rsidRDefault="00B57506" w:rsidP="00B57506">
      <w:pPr>
        <w:rPr>
          <w:rFonts w:hint="eastAsia"/>
          <w:b/>
          <w:bCs/>
          <w:lang w:eastAsia="ja-JP"/>
        </w:rPr>
      </w:pPr>
      <w:r w:rsidRPr="00B57506">
        <w:rPr>
          <w:rFonts w:hint="eastAsia"/>
          <w:b/>
          <w:bCs/>
          <w:lang w:eastAsia="ja-JP"/>
        </w:rPr>
        <w:t>贈答用詰合せ容器の基準</w:t>
      </w:r>
    </w:p>
    <w:p w14:paraId="305281A3" w14:textId="77777777" w:rsidR="00B57506" w:rsidRPr="00B57506" w:rsidRDefault="00B57506" w:rsidP="00B57506">
      <w:pPr>
        <w:rPr>
          <w:rFonts w:hint="eastAsia"/>
          <w:lang w:eastAsia="ja-JP"/>
        </w:rPr>
      </w:pPr>
      <w:r w:rsidRPr="00B57506">
        <w:rPr>
          <w:rFonts w:hint="eastAsia"/>
          <w:lang w:eastAsia="ja-JP"/>
        </w:rPr>
        <w:t>第3</w:t>
      </w:r>
      <w:r w:rsidRPr="00B57506">
        <w:rPr>
          <w:rFonts w:ascii="새굴림" w:eastAsia="새굴림" w:hAnsi="새굴림" w:cs="새굴림" w:hint="eastAsia"/>
          <w:lang w:eastAsia="ja-JP"/>
        </w:rPr>
        <w:t>条</w:t>
      </w:r>
    </w:p>
    <w:p w14:paraId="68442361" w14:textId="4646EAA8" w:rsidR="00B57506" w:rsidRPr="00B57506" w:rsidRDefault="00B57506" w:rsidP="00B57506">
      <w:pPr>
        <w:rPr>
          <w:rFonts w:hint="eastAsia"/>
          <w:lang w:eastAsia="ja-JP"/>
        </w:rPr>
      </w:pPr>
      <w:r w:rsidRPr="00B57506">
        <w:rPr>
          <w:rFonts w:hint="eastAsia"/>
          <w:lang w:eastAsia="ja-JP"/>
        </w:rPr>
        <w:t>贈答用として化粧品（化粧品以外の商品を</w:t>
      </w:r>
      <w:r w:rsidRPr="00B57506">
        <w:rPr>
          <w:rFonts w:ascii="새굴림" w:eastAsia="새굴림" w:hAnsi="새굴림" w:cs="새굴림" w:hint="eastAsia"/>
          <w:lang w:eastAsia="ja-JP"/>
        </w:rPr>
        <w:t>併</w:t>
      </w:r>
      <w:r w:rsidRPr="00B57506">
        <w:rPr>
          <w:rFonts w:ascii="맑은 고딕" w:eastAsia="맑은 고딕" w:hAnsi="맑은 고딕" w:cs="맑은 고딕" w:hint="eastAsia"/>
          <w:lang w:eastAsia="ja-JP"/>
        </w:rPr>
        <w:t>せて詰合せる場合を含む。以下同じ）を詰合せる場合は、合理的な配列を行い、次に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げる基準に則したものでなければならない。</w:t>
      </w:r>
      <w:r w:rsidRPr="00B57506">
        <w:drawing>
          <wp:inline distT="0" distB="0" distL="0" distR="0" wp14:anchorId="623AC78F" wp14:editId="369D2951">
            <wp:extent cx="4762500" cy="2085975"/>
            <wp:effectExtent l="0" t="0" r="0" b="9525"/>
            <wp:docPr id="1157504535" name="그림 9" descr="化粧品の適正包装規則　第3条　贈答用詰合せ容器の基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化粧品の適正包装規則　第3条　贈答用詰合せ容器の基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85975"/>
                    </a:xfrm>
                    <a:prstGeom prst="rect">
                      <a:avLst/>
                    </a:prstGeom>
                    <a:noFill/>
                    <a:ln>
                      <a:noFill/>
                    </a:ln>
                  </pic:spPr>
                </pic:pic>
              </a:graphicData>
            </a:graphic>
          </wp:inline>
        </w:drawing>
      </w:r>
    </w:p>
    <w:p w14:paraId="190E1FED" w14:textId="47AAB560" w:rsidR="00B57506" w:rsidRPr="00B57506" w:rsidRDefault="00B57506" w:rsidP="00B57506">
      <w:pPr>
        <w:numPr>
          <w:ilvl w:val="0"/>
          <w:numId w:val="3"/>
        </w:numPr>
        <w:rPr>
          <w:rFonts w:hint="eastAsia"/>
          <w:lang w:eastAsia="ja-JP"/>
        </w:rPr>
      </w:pPr>
      <w:r w:rsidRPr="00B57506">
        <w:rPr>
          <w:rFonts w:hint="eastAsia"/>
          <w:lang w:eastAsia="ja-JP"/>
        </w:rPr>
        <w:lastRenderedPageBreak/>
        <w:t>詰合せ容器の</w:t>
      </w:r>
      <w:r w:rsidRPr="00B57506">
        <w:rPr>
          <w:rFonts w:ascii="새굴림" w:eastAsia="새굴림" w:hAnsi="새굴림" w:cs="새굴림" w:hint="eastAsia"/>
          <w:lang w:eastAsia="ja-JP"/>
        </w:rPr>
        <w:t>内</w:t>
      </w:r>
      <w:r w:rsidRPr="00B57506">
        <w:rPr>
          <w:rFonts w:ascii="맑은 고딕" w:eastAsia="맑은 고딕" w:hAnsi="맑은 고딕" w:cs="맑은 고딕" w:hint="eastAsia"/>
          <w:lang w:eastAsia="ja-JP"/>
        </w:rPr>
        <w:t>壁から化粧品まで及び化粧品と化粧品との間隔は、その最も近接する部分において</w:t>
      </w:r>
      <w:r w:rsidRPr="00B57506">
        <w:rPr>
          <w:rFonts w:ascii="새굴림" w:eastAsia="새굴림" w:hAnsi="새굴림" w:cs="새굴림" w:hint="eastAsia"/>
          <w:lang w:eastAsia="ja-JP"/>
        </w:rPr>
        <w:t>図</w:t>
      </w:r>
      <w:r w:rsidRPr="00B57506">
        <w:rPr>
          <w:rFonts w:ascii="맑은 고딕" w:eastAsia="맑은 고딕" w:hAnsi="맑은 고딕" w:cs="맑은 고딕" w:hint="eastAsia"/>
          <w:lang w:eastAsia="ja-JP"/>
        </w:rPr>
        <w:t>で示す上下、左右にそれぞれ</w:t>
      </w:r>
      <w:r w:rsidRPr="00B57506">
        <w:rPr>
          <w:rFonts w:hint="eastAsia"/>
          <w:lang w:eastAsia="ja-JP"/>
        </w:rPr>
        <w:t>1.5センチメ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トル以下、深さは化粧品の上部及び下部と詰合せ容器との間隔がそれぞれ</w:t>
      </w:r>
      <w:r w:rsidRPr="00B57506">
        <w:rPr>
          <w:rFonts w:hint="eastAsia"/>
          <w:lang w:eastAsia="ja-JP"/>
        </w:rPr>
        <w:t>0.5センチメ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トル以下又はその合計が</w:t>
      </w:r>
      <w:r w:rsidRPr="00B57506">
        <w:rPr>
          <w:rFonts w:hint="eastAsia"/>
          <w:lang w:eastAsia="ja-JP"/>
        </w:rPr>
        <w:t>1センチメ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トル以下（ガラス製の破損し易い容器で直接詰合せる場合の深さは化粧品の上部及び下部と詰合せ容器との間隔がそれぞれ</w:t>
      </w:r>
      <w:r w:rsidRPr="00B57506">
        <w:rPr>
          <w:rFonts w:hint="eastAsia"/>
          <w:lang w:eastAsia="ja-JP"/>
        </w:rPr>
        <w:t>0.8センチメ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トル以下又はその合計が</w:t>
      </w:r>
      <w:r w:rsidRPr="00B57506">
        <w:rPr>
          <w:rFonts w:hint="eastAsia"/>
          <w:lang w:eastAsia="ja-JP"/>
        </w:rPr>
        <w:t>1.5センチメ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トル以下）とする。</w:t>
      </w:r>
      <w:r w:rsidRPr="00B57506">
        <w:rPr>
          <w:rFonts w:hint="eastAsia"/>
          <w:lang w:eastAsia="ja-JP"/>
        </w:rPr>
        <w:t> </w:t>
      </w:r>
      <w:r w:rsidRPr="00B57506">
        <w:drawing>
          <wp:inline distT="0" distB="0" distL="0" distR="0" wp14:anchorId="04069C15" wp14:editId="31ACA7B6">
            <wp:extent cx="4762500" cy="2019300"/>
            <wp:effectExtent l="0" t="0" r="0" b="0"/>
            <wp:docPr id="1898469685" name="그림 8" descr="化粧品の適正包装規則　第3条　贈答用詰合せ容器の基準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化粧品の適正包装規則　第3条　贈答用詰合せ容器の基準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a:noFill/>
                    </a:ln>
                  </pic:spPr>
                </pic:pic>
              </a:graphicData>
            </a:graphic>
          </wp:inline>
        </w:drawing>
      </w:r>
      <w:r w:rsidRPr="00B57506">
        <w:drawing>
          <wp:inline distT="0" distB="0" distL="0" distR="0" wp14:anchorId="0C9E9106" wp14:editId="17091B3E">
            <wp:extent cx="4762500" cy="1838325"/>
            <wp:effectExtent l="0" t="0" r="0" b="9525"/>
            <wp:docPr id="765314207" name="그림 7" descr="化粧品の適正包装規則　第3条　贈答用詰合せ容器の基準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化粧品の適正包装規則　第3条　贈答用詰合せ容器の基準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838325"/>
                    </a:xfrm>
                    <a:prstGeom prst="rect">
                      <a:avLst/>
                    </a:prstGeom>
                    <a:noFill/>
                    <a:ln>
                      <a:noFill/>
                    </a:ln>
                  </pic:spPr>
                </pic:pic>
              </a:graphicData>
            </a:graphic>
          </wp:inline>
        </w:drawing>
      </w:r>
      <w:r w:rsidRPr="00B57506">
        <w:rPr>
          <w:rFonts w:hint="eastAsia"/>
          <w:lang w:eastAsia="ja-JP"/>
        </w:rPr>
        <w:t> </w:t>
      </w:r>
    </w:p>
    <w:p w14:paraId="4DEB78D9" w14:textId="77777777" w:rsidR="00B57506" w:rsidRPr="00B57506" w:rsidRDefault="00B57506" w:rsidP="00B57506">
      <w:pPr>
        <w:rPr>
          <w:rFonts w:hint="eastAsia"/>
          <w:lang w:eastAsia="ja-JP"/>
        </w:rPr>
      </w:pPr>
      <w:r w:rsidRPr="00B57506">
        <w:rPr>
          <w:rFonts w:hint="eastAsia"/>
          <w:lang w:eastAsia="ja-JP"/>
        </w:rPr>
        <w:t>ただし、合理的な配列を行っても詰合せる化粧品に大小があるため、本</w:t>
      </w:r>
      <w:r w:rsidRPr="00B57506">
        <w:rPr>
          <w:rFonts w:ascii="새굴림" w:eastAsia="새굴림" w:hAnsi="새굴림" w:cs="새굴림" w:hint="eastAsia"/>
          <w:lang w:eastAsia="ja-JP"/>
        </w:rPr>
        <w:t>号</w:t>
      </w:r>
      <w:r w:rsidRPr="00B57506">
        <w:rPr>
          <w:rFonts w:ascii="맑은 고딕" w:eastAsia="맑은 고딕" w:hAnsi="맑은 고딕" w:cs="맑은 고딕" w:hint="eastAsia"/>
          <w:lang w:eastAsia="ja-JP"/>
        </w:rPr>
        <w:t>に定める基準によりがたい場合は、その部分については、これらの</w:t>
      </w:r>
      <w:r w:rsidRPr="00B57506">
        <w:rPr>
          <w:rFonts w:ascii="새굴림" w:eastAsia="새굴림" w:hAnsi="새굴림" w:cs="새굴림" w:hint="eastAsia"/>
          <w:lang w:eastAsia="ja-JP"/>
        </w:rPr>
        <w:t>数</w:t>
      </w:r>
      <w:r w:rsidRPr="00B57506">
        <w:rPr>
          <w:rFonts w:ascii="맑은 고딕" w:eastAsia="맑은 고딕" w:hAnsi="맑은 고딕" w:cs="맑은 고딕" w:hint="eastAsia"/>
          <w:lang w:eastAsia="ja-JP"/>
        </w:rPr>
        <w:t>値は適用しない。</w:t>
      </w:r>
    </w:p>
    <w:p w14:paraId="5D880E0C" w14:textId="77777777" w:rsidR="00B57506" w:rsidRPr="00B57506" w:rsidRDefault="00B57506" w:rsidP="00B57506">
      <w:pPr>
        <w:numPr>
          <w:ilvl w:val="0"/>
          <w:numId w:val="3"/>
        </w:numPr>
        <w:rPr>
          <w:rFonts w:hint="eastAsia"/>
          <w:lang w:eastAsia="ja-JP"/>
        </w:rPr>
      </w:pPr>
      <w:r w:rsidRPr="00B57506">
        <w:rPr>
          <w:rFonts w:hint="eastAsia"/>
          <w:lang w:eastAsia="ja-JP"/>
        </w:rPr>
        <w:t>贈答用詰合せ容器の</w:t>
      </w:r>
      <w:r w:rsidRPr="00B57506">
        <w:rPr>
          <w:rFonts w:ascii="새굴림" w:eastAsia="새굴림" w:hAnsi="새굴림" w:cs="새굴림" w:hint="eastAsia"/>
          <w:lang w:eastAsia="ja-JP"/>
        </w:rPr>
        <w:t>枠</w:t>
      </w:r>
      <w:r w:rsidRPr="00B57506">
        <w:rPr>
          <w:rFonts w:ascii="맑은 고딕" w:eastAsia="맑은 고딕" w:hAnsi="맑은 고딕" w:cs="맑은 고딕" w:hint="eastAsia"/>
          <w:lang w:eastAsia="ja-JP"/>
        </w:rPr>
        <w:t>巾は</w:t>
      </w:r>
      <w:r w:rsidRPr="00B57506">
        <w:rPr>
          <w:rFonts w:hint="eastAsia"/>
          <w:lang w:eastAsia="ja-JP"/>
        </w:rPr>
        <w:t>0.8センチメ</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トル以下とする。</w:t>
      </w:r>
    </w:p>
    <w:p w14:paraId="478FCDCE" w14:textId="77777777" w:rsidR="00B57506" w:rsidRPr="00B57506" w:rsidRDefault="00B57506" w:rsidP="00B57506">
      <w:pPr>
        <w:numPr>
          <w:ilvl w:val="0"/>
          <w:numId w:val="3"/>
        </w:numPr>
        <w:rPr>
          <w:rFonts w:hint="eastAsia"/>
          <w:lang w:eastAsia="ja-JP"/>
        </w:rPr>
      </w:pPr>
      <w:r w:rsidRPr="00B57506">
        <w:rPr>
          <w:rFonts w:hint="eastAsia"/>
          <w:lang w:eastAsia="ja-JP"/>
        </w:rPr>
        <w:t>次に</w:t>
      </w:r>
      <w:r w:rsidRPr="00B57506">
        <w:rPr>
          <w:rFonts w:ascii="새굴림" w:eastAsia="새굴림" w:hAnsi="새굴림" w:cs="새굴림" w:hint="eastAsia"/>
          <w:lang w:eastAsia="ja-JP"/>
        </w:rPr>
        <w:t>掲</w:t>
      </w:r>
      <w:r w:rsidRPr="00B57506">
        <w:rPr>
          <w:rFonts w:ascii="맑은 고딕" w:eastAsia="맑은 고딕" w:hAnsi="맑은 고딕" w:cs="맑은 고딕" w:hint="eastAsia"/>
          <w:lang w:eastAsia="ja-JP"/>
        </w:rPr>
        <w:t>げるものは前各</w:t>
      </w:r>
      <w:r w:rsidRPr="00B57506">
        <w:rPr>
          <w:rFonts w:ascii="새굴림" w:eastAsia="새굴림" w:hAnsi="새굴림" w:cs="새굴림" w:hint="eastAsia"/>
          <w:lang w:eastAsia="ja-JP"/>
        </w:rPr>
        <w:t>号</w:t>
      </w:r>
      <w:r w:rsidRPr="00B57506">
        <w:rPr>
          <w:rFonts w:ascii="맑은 고딕" w:eastAsia="맑은 고딕" w:hAnsi="맑은 고딕" w:cs="맑은 고딕" w:hint="eastAsia"/>
          <w:lang w:eastAsia="ja-JP"/>
        </w:rPr>
        <w:t>に定める</w:t>
      </w:r>
      <w:r w:rsidRPr="00B57506">
        <w:rPr>
          <w:rFonts w:ascii="새굴림" w:eastAsia="새굴림" w:hAnsi="새굴림" w:cs="새굴림" w:hint="eastAsia"/>
          <w:lang w:eastAsia="ja-JP"/>
        </w:rPr>
        <w:t>数</w:t>
      </w:r>
      <w:r w:rsidRPr="00B57506">
        <w:rPr>
          <w:rFonts w:ascii="맑은 고딕" w:eastAsia="맑은 고딕" w:hAnsi="맑은 고딕" w:cs="맑은 고딕" w:hint="eastAsia"/>
          <w:lang w:eastAsia="ja-JP"/>
        </w:rPr>
        <w:t>値は適用しないが、過大容器とならないよう十分注意すること。</w:t>
      </w:r>
    </w:p>
    <w:p w14:paraId="72D743CE" w14:textId="77777777" w:rsidR="00B57506" w:rsidRPr="00B57506" w:rsidRDefault="00B57506" w:rsidP="00B57506">
      <w:pPr>
        <w:numPr>
          <w:ilvl w:val="1"/>
          <w:numId w:val="3"/>
        </w:numPr>
        <w:rPr>
          <w:rFonts w:hint="eastAsia"/>
          <w:lang w:eastAsia="ja-JP"/>
        </w:rPr>
      </w:pPr>
      <w:r w:rsidRPr="00B57506">
        <w:rPr>
          <w:rFonts w:hint="eastAsia"/>
          <w:lang w:eastAsia="ja-JP"/>
        </w:rPr>
        <w:t>香水、オ</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デコロン類を詰合せた贈答品</w:t>
      </w:r>
    </w:p>
    <w:p w14:paraId="47512C39" w14:textId="77777777" w:rsidR="00B57506" w:rsidRPr="00B57506" w:rsidRDefault="00B57506" w:rsidP="00B57506">
      <w:pPr>
        <w:numPr>
          <w:ilvl w:val="1"/>
          <w:numId w:val="3"/>
        </w:numPr>
        <w:rPr>
          <w:rFonts w:hint="eastAsia"/>
          <w:lang w:eastAsia="ja-JP"/>
        </w:rPr>
      </w:pPr>
      <w:r w:rsidRPr="00B57506">
        <w:rPr>
          <w:rFonts w:hint="eastAsia"/>
          <w:lang w:eastAsia="ja-JP"/>
        </w:rPr>
        <w:t>一般消費者の選</w:t>
      </w:r>
      <w:r w:rsidRPr="00B57506">
        <w:rPr>
          <w:rFonts w:ascii="새굴림" w:eastAsia="새굴림" w:hAnsi="새굴림" w:cs="새굴림" w:hint="eastAsia"/>
          <w:lang w:eastAsia="ja-JP"/>
        </w:rPr>
        <w:t>択</w:t>
      </w:r>
      <w:r w:rsidRPr="00B57506">
        <w:rPr>
          <w:rFonts w:ascii="맑은 고딕" w:eastAsia="맑은 고딕" w:hAnsi="맑은 고딕" w:cs="맑은 고딕" w:hint="eastAsia"/>
          <w:lang w:eastAsia="ja-JP"/>
        </w:rPr>
        <w:t>に</w:t>
      </w:r>
      <w:r w:rsidRPr="00B57506">
        <w:rPr>
          <w:rFonts w:ascii="새굴림" w:eastAsia="새굴림" w:hAnsi="새굴림" w:cs="새굴림" w:hint="eastAsia"/>
          <w:lang w:eastAsia="ja-JP"/>
        </w:rPr>
        <w:t>応</w:t>
      </w:r>
      <w:r w:rsidRPr="00B57506">
        <w:rPr>
          <w:rFonts w:ascii="맑은 고딕" w:eastAsia="맑은 고딕" w:hAnsi="맑은 고딕" w:cs="맑은 고딕" w:hint="eastAsia"/>
          <w:lang w:eastAsia="ja-JP"/>
        </w:rPr>
        <w:t>じて詰合せる贈答品</w:t>
      </w:r>
    </w:p>
    <w:p w14:paraId="101A6040" w14:textId="77777777" w:rsidR="00B57506" w:rsidRPr="00B57506" w:rsidRDefault="00B57506" w:rsidP="00B57506">
      <w:pPr>
        <w:rPr>
          <w:rFonts w:hint="eastAsia"/>
          <w:b/>
          <w:bCs/>
          <w:lang w:eastAsia="ja-JP"/>
        </w:rPr>
      </w:pPr>
      <w:r w:rsidRPr="00B57506">
        <w:rPr>
          <w:rFonts w:hint="eastAsia"/>
          <w:b/>
          <w:bCs/>
          <w:lang w:eastAsia="ja-JP"/>
        </w:rPr>
        <w:t>その他</w:t>
      </w:r>
    </w:p>
    <w:p w14:paraId="5EEB2D0C" w14:textId="77777777" w:rsidR="00B57506" w:rsidRPr="00B57506" w:rsidRDefault="00B57506" w:rsidP="00B57506">
      <w:pPr>
        <w:rPr>
          <w:rFonts w:hint="eastAsia"/>
          <w:lang w:eastAsia="ja-JP"/>
        </w:rPr>
      </w:pPr>
      <w:r w:rsidRPr="00B57506">
        <w:rPr>
          <w:rFonts w:hint="eastAsia"/>
          <w:lang w:eastAsia="ja-JP"/>
        </w:rPr>
        <w:t>第4</w:t>
      </w:r>
      <w:r w:rsidRPr="00B57506">
        <w:rPr>
          <w:rFonts w:ascii="새굴림" w:eastAsia="새굴림" w:hAnsi="새굴림" w:cs="새굴림" w:hint="eastAsia"/>
          <w:lang w:eastAsia="ja-JP"/>
        </w:rPr>
        <w:t>条</w:t>
      </w:r>
    </w:p>
    <w:p w14:paraId="7F2C0F3B" w14:textId="77777777" w:rsidR="00B57506" w:rsidRPr="00B57506" w:rsidRDefault="00B57506" w:rsidP="00B57506">
      <w:pPr>
        <w:rPr>
          <w:rFonts w:hint="eastAsia"/>
          <w:lang w:eastAsia="ja-JP"/>
        </w:rPr>
      </w:pPr>
      <w:r w:rsidRPr="00B57506">
        <w:rPr>
          <w:rFonts w:hint="eastAsia"/>
          <w:lang w:eastAsia="ja-JP"/>
        </w:rPr>
        <w:t>二次使用を目的とした特殊な形態の容器など、この規則を適用することが妥</w:t>
      </w:r>
      <w:r w:rsidRPr="00B57506">
        <w:rPr>
          <w:rFonts w:ascii="새굴림" w:eastAsia="새굴림" w:hAnsi="새굴림" w:cs="새굴림" w:hint="eastAsia"/>
          <w:lang w:eastAsia="ja-JP"/>
        </w:rPr>
        <w:t>当</w:t>
      </w:r>
      <w:r w:rsidRPr="00B57506">
        <w:rPr>
          <w:rFonts w:ascii="맑은 고딕" w:eastAsia="맑은 고딕" w:hAnsi="맑은 고딕" w:cs="맑은 고딕" w:hint="eastAsia"/>
          <w:lang w:eastAsia="ja-JP"/>
        </w:rPr>
        <w:t>でないものに</w:t>
      </w:r>
      <w:r w:rsidRPr="00B57506">
        <w:rPr>
          <w:rFonts w:ascii="맑은 고딕" w:eastAsia="맑은 고딕" w:hAnsi="맑은 고딕" w:cs="맑은 고딕" w:hint="eastAsia"/>
          <w:lang w:eastAsia="ja-JP"/>
        </w:rPr>
        <w:lastRenderedPageBreak/>
        <w:t>ついては、公正取引協議</w:t>
      </w:r>
      <w:r w:rsidRPr="00B57506">
        <w:rPr>
          <w:rFonts w:ascii="새굴림" w:eastAsia="새굴림" w:hAnsi="새굴림" w:cs="새굴림" w:hint="eastAsia"/>
          <w:lang w:eastAsia="ja-JP"/>
        </w:rPr>
        <w:t>会</w:t>
      </w:r>
      <w:r w:rsidRPr="00B57506">
        <w:rPr>
          <w:rFonts w:ascii="맑은 고딕" w:eastAsia="맑은 고딕" w:hAnsi="맑은 고딕" w:cs="맑은 고딕" w:hint="eastAsia"/>
          <w:lang w:eastAsia="ja-JP"/>
        </w:rPr>
        <w:t>がこの規則に準じて個別に査定する。</w:t>
      </w:r>
    </w:p>
    <w:p w14:paraId="58513D86" w14:textId="556A01E1" w:rsidR="00B57506" w:rsidRPr="00B57506" w:rsidRDefault="00B57506" w:rsidP="00B57506">
      <w:pPr>
        <w:numPr>
          <w:ilvl w:val="0"/>
          <w:numId w:val="4"/>
        </w:numPr>
        <w:rPr>
          <w:rFonts w:hint="eastAsia"/>
          <w:lang w:eastAsia="ja-JP"/>
        </w:rPr>
      </w:pPr>
      <w:r w:rsidRPr="00B57506">
        <w:rPr>
          <w:rFonts w:hint="eastAsia"/>
          <w:lang w:eastAsia="ja-JP"/>
        </w:rPr>
        <w:t>外容積に</w:t>
      </w:r>
      <w:r w:rsidRPr="00B57506">
        <w:rPr>
          <w:rFonts w:ascii="새굴림" w:eastAsia="새굴림" w:hAnsi="새굴림" w:cs="새굴림" w:hint="eastAsia"/>
          <w:lang w:eastAsia="ja-JP"/>
        </w:rPr>
        <w:t>対</w:t>
      </w:r>
      <w:r w:rsidRPr="00B57506">
        <w:rPr>
          <w:rFonts w:ascii="맑은 고딕" w:eastAsia="맑은 고딕" w:hAnsi="맑은 고딕" w:cs="맑은 고딕" w:hint="eastAsia"/>
          <w:lang w:eastAsia="ja-JP"/>
        </w:rPr>
        <w:t>する</w:t>
      </w:r>
      <w:r w:rsidRPr="00B57506">
        <w:rPr>
          <w:rFonts w:ascii="새굴림" w:eastAsia="새굴림" w:hAnsi="새굴림" w:cs="새굴림" w:hint="eastAsia"/>
          <w:lang w:eastAsia="ja-JP"/>
        </w:rPr>
        <w:t>内</w:t>
      </w:r>
      <w:r w:rsidRPr="00B57506">
        <w:rPr>
          <w:rFonts w:ascii="맑은 고딕" w:eastAsia="맑은 고딕" w:hAnsi="맑은 고딕" w:cs="맑은 고딕" w:hint="eastAsia"/>
          <w:lang w:eastAsia="ja-JP"/>
        </w:rPr>
        <w:t>容物体積の割合は、次の方法により算出する。</w:t>
      </w:r>
      <w:r w:rsidRPr="00B57506">
        <w:drawing>
          <wp:inline distT="0" distB="0" distL="0" distR="0" wp14:anchorId="3A2E39EB" wp14:editId="5CD43E61">
            <wp:extent cx="4762500" cy="2886075"/>
            <wp:effectExtent l="0" t="0" r="0" b="9525"/>
            <wp:docPr id="1457163554" name="그림 6" descr="化粧品の適正包装規則　第4条　その他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化粧品の適正包装規則　第4条　その他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886075"/>
                    </a:xfrm>
                    <a:prstGeom prst="rect">
                      <a:avLst/>
                    </a:prstGeom>
                    <a:noFill/>
                    <a:ln>
                      <a:noFill/>
                    </a:ln>
                  </pic:spPr>
                </pic:pic>
              </a:graphicData>
            </a:graphic>
          </wp:inline>
        </w:drawing>
      </w:r>
    </w:p>
    <w:p w14:paraId="3FB21785" w14:textId="77777777" w:rsidR="00B57506" w:rsidRPr="00B57506" w:rsidRDefault="00B57506" w:rsidP="00B57506">
      <w:pPr>
        <w:numPr>
          <w:ilvl w:val="0"/>
          <w:numId w:val="4"/>
        </w:numPr>
        <w:rPr>
          <w:rFonts w:hint="eastAsia"/>
          <w:lang w:eastAsia="ja-JP"/>
        </w:rPr>
      </w:pPr>
      <w:r w:rsidRPr="00B57506">
        <w:rPr>
          <w:rFonts w:hint="eastAsia"/>
          <w:lang w:eastAsia="ja-JP"/>
        </w:rPr>
        <w:t>クリ</w:t>
      </w:r>
      <w:r w:rsidRPr="00B57506">
        <w:rPr>
          <w:rFonts w:ascii="Microsoft YaHei" w:eastAsia="Microsoft YaHei" w:hAnsi="Microsoft YaHei" w:cs="Microsoft YaHei" w:hint="eastAsia"/>
          <w:lang w:eastAsia="ja-JP"/>
        </w:rPr>
        <w:t>ー</w:t>
      </w:r>
      <w:r w:rsidRPr="00B57506">
        <w:rPr>
          <w:rFonts w:ascii="맑은 고딕" w:eastAsia="맑은 고딕" w:hAnsi="맑은 고딕" w:cs="맑은 고딕" w:hint="eastAsia"/>
          <w:lang w:eastAsia="ja-JP"/>
        </w:rPr>
        <w:t>ム等の</w:t>
      </w:r>
      <w:r w:rsidRPr="00B57506">
        <w:rPr>
          <w:rFonts w:ascii="새굴림" w:eastAsia="새굴림" w:hAnsi="새굴림" w:cs="새굴림" w:hint="eastAsia"/>
          <w:lang w:eastAsia="ja-JP"/>
        </w:rPr>
        <w:t>広</w:t>
      </w:r>
      <w:r w:rsidRPr="00B57506">
        <w:rPr>
          <w:rFonts w:ascii="맑은 고딕" w:eastAsia="맑은 고딕" w:hAnsi="맑은 고딕" w:cs="맑은 고딕" w:hint="eastAsia"/>
          <w:lang w:eastAsia="ja-JP"/>
        </w:rPr>
        <w:t>口の容器は、資材がガラスの場合にはプレス製法又はプレスアンドブロウ製法によって成形され、資材がプラスチックの場合は成形技術上、二重となることがやむを得ないので、二重部分の一部に空間が生ずることとなるものである。</w:t>
      </w:r>
    </w:p>
    <w:p w14:paraId="2E3D1AFD" w14:textId="77777777" w:rsidR="00B57506" w:rsidRPr="00B57506" w:rsidRDefault="00B57506" w:rsidP="00B57506">
      <w:pPr>
        <w:numPr>
          <w:ilvl w:val="0"/>
          <w:numId w:val="4"/>
        </w:numPr>
        <w:rPr>
          <w:rFonts w:hint="eastAsia"/>
          <w:lang w:eastAsia="ja-JP"/>
        </w:rPr>
      </w:pPr>
      <w:r w:rsidRPr="00B57506">
        <w:rPr>
          <w:rFonts w:hint="eastAsia"/>
          <w:lang w:eastAsia="ja-JP"/>
        </w:rPr>
        <w:t>おしろい等で容器の中にパフを</w:t>
      </w:r>
      <w:r w:rsidRPr="00B57506">
        <w:rPr>
          <w:rFonts w:ascii="새굴림" w:eastAsia="새굴림" w:hAnsi="새굴림" w:cs="새굴림" w:hint="eastAsia"/>
          <w:lang w:eastAsia="ja-JP"/>
        </w:rPr>
        <w:t>収</w:t>
      </w:r>
      <w:r w:rsidRPr="00B57506">
        <w:rPr>
          <w:rFonts w:ascii="맑은 고딕" w:eastAsia="맑은 고딕" w:hAnsi="맑은 고딕" w:cs="맑은 고딕" w:hint="eastAsia"/>
          <w:lang w:eastAsia="ja-JP"/>
        </w:rPr>
        <w:t>納するための空間があるものは、その旨を必ず表示すること。</w:t>
      </w:r>
    </w:p>
    <w:p w14:paraId="7941354C" w14:textId="77777777" w:rsidR="00B57506" w:rsidRPr="00B57506" w:rsidRDefault="00B57506" w:rsidP="00B57506">
      <w:pPr>
        <w:rPr>
          <w:rFonts w:hint="eastAsia"/>
          <w:lang w:eastAsia="zh-TW"/>
        </w:rPr>
      </w:pPr>
      <w:r w:rsidRPr="00B57506">
        <w:rPr>
          <w:rFonts w:hint="eastAsia"/>
          <w:lang w:eastAsia="zh-TW"/>
        </w:rPr>
        <w:t>附則（昭和51年7月9日承認）</w:t>
      </w:r>
    </w:p>
    <w:p w14:paraId="55A69932" w14:textId="77777777" w:rsidR="00B57506" w:rsidRPr="00B57506" w:rsidRDefault="00B57506" w:rsidP="00B57506">
      <w:pPr>
        <w:rPr>
          <w:rFonts w:hint="eastAsia"/>
          <w:lang w:eastAsia="ja-JP"/>
        </w:rPr>
      </w:pPr>
      <w:r w:rsidRPr="00B57506">
        <w:rPr>
          <w:rFonts w:hint="eastAsia"/>
          <w:lang w:eastAsia="ja-JP"/>
        </w:rPr>
        <w:t>この規則は、公正取引委員</w:t>
      </w:r>
      <w:r w:rsidRPr="00B57506">
        <w:rPr>
          <w:rFonts w:ascii="새굴림" w:eastAsia="새굴림" w:hAnsi="새굴림" w:cs="새굴림" w:hint="eastAsia"/>
          <w:lang w:eastAsia="ja-JP"/>
        </w:rPr>
        <w:t>会</w:t>
      </w:r>
      <w:r w:rsidRPr="00B57506">
        <w:rPr>
          <w:rFonts w:ascii="맑은 고딕" w:eastAsia="맑은 고딕" w:hAnsi="맑은 고딕" w:cs="맑은 고딕" w:hint="eastAsia"/>
          <w:lang w:eastAsia="ja-JP"/>
        </w:rPr>
        <w:t>の承認があった日から起算して、</w:t>
      </w:r>
      <w:r w:rsidRPr="00B57506">
        <w:rPr>
          <w:rFonts w:hint="eastAsia"/>
          <w:lang w:eastAsia="ja-JP"/>
        </w:rPr>
        <w:t>6ヶ月を</w:t>
      </w:r>
      <w:r w:rsidRPr="00B57506">
        <w:rPr>
          <w:rFonts w:ascii="새굴림" w:eastAsia="새굴림" w:hAnsi="새굴림" w:cs="새굴림" w:hint="eastAsia"/>
          <w:lang w:eastAsia="ja-JP"/>
        </w:rPr>
        <w:t>経</w:t>
      </w:r>
      <w:r w:rsidRPr="00B57506">
        <w:rPr>
          <w:rFonts w:ascii="맑은 고딕" w:eastAsia="맑은 고딕" w:hAnsi="맑은 고딕" w:cs="맑은 고딕" w:hint="eastAsia"/>
          <w:lang w:eastAsia="ja-JP"/>
        </w:rPr>
        <w:t>過した日から施行する。</w:t>
      </w:r>
    </w:p>
    <w:p w14:paraId="73500547" w14:textId="77777777" w:rsidR="00B57506" w:rsidRPr="00B57506" w:rsidRDefault="00B57506" w:rsidP="00B57506">
      <w:pPr>
        <w:rPr>
          <w:rFonts w:hint="eastAsia"/>
          <w:lang w:eastAsia="zh-TW"/>
        </w:rPr>
      </w:pPr>
      <w:r w:rsidRPr="00B57506">
        <w:rPr>
          <w:rFonts w:hint="eastAsia"/>
          <w:lang w:eastAsia="zh-TW"/>
        </w:rPr>
        <w:t>附則（平成13年3月12日承認）</w:t>
      </w:r>
    </w:p>
    <w:p w14:paraId="5FE76722" w14:textId="77777777" w:rsidR="00B57506" w:rsidRPr="00B57506" w:rsidRDefault="00B57506" w:rsidP="00B57506">
      <w:pPr>
        <w:rPr>
          <w:rFonts w:hint="eastAsia"/>
          <w:lang w:eastAsia="ja-JP"/>
        </w:rPr>
      </w:pPr>
      <w:r w:rsidRPr="00B57506">
        <w:rPr>
          <w:rFonts w:hint="eastAsia"/>
          <w:lang w:eastAsia="ja-JP"/>
        </w:rPr>
        <w:t>この規則の</w:t>
      </w:r>
      <w:r w:rsidRPr="00B57506">
        <w:rPr>
          <w:rFonts w:ascii="새굴림" w:eastAsia="새굴림" w:hAnsi="새굴림" w:cs="새굴림" w:hint="eastAsia"/>
          <w:lang w:eastAsia="ja-JP"/>
        </w:rPr>
        <w:t>変</w:t>
      </w:r>
      <w:r w:rsidRPr="00B57506">
        <w:rPr>
          <w:rFonts w:ascii="맑은 고딕" w:eastAsia="맑은 고딕" w:hAnsi="맑은 고딕" w:cs="맑은 고딕" w:hint="eastAsia"/>
          <w:lang w:eastAsia="ja-JP"/>
        </w:rPr>
        <w:t>更は、公正取引委員</w:t>
      </w:r>
      <w:r w:rsidRPr="00B57506">
        <w:rPr>
          <w:rFonts w:ascii="새굴림" w:eastAsia="새굴림" w:hAnsi="새굴림" w:cs="새굴림" w:hint="eastAsia"/>
          <w:lang w:eastAsia="ja-JP"/>
        </w:rPr>
        <w:t>会</w:t>
      </w:r>
      <w:r w:rsidRPr="00B57506">
        <w:rPr>
          <w:rFonts w:ascii="맑은 고딕" w:eastAsia="맑은 고딕" w:hAnsi="맑은 고딕" w:cs="맑은 고딕" w:hint="eastAsia"/>
          <w:lang w:eastAsia="ja-JP"/>
        </w:rPr>
        <w:t>の承認のあった日から施</w:t>
      </w:r>
      <w:r w:rsidRPr="00B57506">
        <w:rPr>
          <w:rFonts w:hint="eastAsia"/>
          <w:lang w:eastAsia="ja-JP"/>
        </w:rPr>
        <w:t>行する。</w:t>
      </w:r>
    </w:p>
    <w:p w14:paraId="74C106B2" w14:textId="77777777" w:rsidR="007B5828" w:rsidRPr="00B57506" w:rsidRDefault="007B5828">
      <w:pPr>
        <w:rPr>
          <w:lang w:eastAsia="ja-JP"/>
        </w:rPr>
      </w:pPr>
    </w:p>
    <w:sectPr w:rsidR="007B5828" w:rsidRPr="00B5750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4079F"/>
    <w:multiLevelType w:val="multilevel"/>
    <w:tmpl w:val="0C569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45E2A"/>
    <w:multiLevelType w:val="multilevel"/>
    <w:tmpl w:val="9B7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7468F"/>
    <w:multiLevelType w:val="multilevel"/>
    <w:tmpl w:val="3AD21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C22F46"/>
    <w:multiLevelType w:val="multilevel"/>
    <w:tmpl w:val="ABA42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20347">
    <w:abstractNumId w:val="2"/>
  </w:num>
  <w:num w:numId="2" w16cid:durableId="677972401">
    <w:abstractNumId w:val="0"/>
  </w:num>
  <w:num w:numId="3" w16cid:durableId="2111847831">
    <w:abstractNumId w:val="3"/>
  </w:num>
  <w:num w:numId="4" w16cid:durableId="77760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74"/>
    <w:rsid w:val="001260E7"/>
    <w:rsid w:val="002A0474"/>
    <w:rsid w:val="003E6EBE"/>
    <w:rsid w:val="007B5828"/>
    <w:rsid w:val="00B57506"/>
    <w:rsid w:val="00C017E5"/>
    <w:rsid w:val="00ED5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0837"/>
  <w15:chartTrackingRefBased/>
  <w15:docId w15:val="{9BF6A84A-0200-4BB5-A398-1C2D381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2A04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2A04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2A04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2A04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2A04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2A04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2A04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2A04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2A04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A047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2A047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2A047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2A047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2A047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2A047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2A047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2A047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2A047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2A0474"/>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2A04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0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2A047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A0474"/>
    <w:pPr>
      <w:spacing w:before="160"/>
      <w:jc w:val="center"/>
    </w:pPr>
    <w:rPr>
      <w:i/>
      <w:iCs/>
      <w:color w:val="404040" w:themeColor="text1" w:themeTint="BF"/>
    </w:rPr>
  </w:style>
  <w:style w:type="character" w:customStyle="1" w:styleId="Char1">
    <w:name w:val="인용 Char"/>
    <w:basedOn w:val="a0"/>
    <w:link w:val="a5"/>
    <w:uiPriority w:val="29"/>
    <w:rsid w:val="002A0474"/>
    <w:rPr>
      <w:i/>
      <w:iCs/>
      <w:color w:val="404040" w:themeColor="text1" w:themeTint="BF"/>
    </w:rPr>
  </w:style>
  <w:style w:type="paragraph" w:styleId="a6">
    <w:name w:val="List Paragraph"/>
    <w:basedOn w:val="a"/>
    <w:uiPriority w:val="34"/>
    <w:qFormat/>
    <w:rsid w:val="002A0474"/>
    <w:pPr>
      <w:ind w:left="720"/>
      <w:contextualSpacing/>
    </w:pPr>
  </w:style>
  <w:style w:type="character" w:styleId="a7">
    <w:name w:val="Intense Emphasis"/>
    <w:basedOn w:val="a0"/>
    <w:uiPriority w:val="21"/>
    <w:qFormat/>
    <w:rsid w:val="002A0474"/>
    <w:rPr>
      <w:i/>
      <w:iCs/>
      <w:color w:val="0F4761" w:themeColor="accent1" w:themeShade="BF"/>
    </w:rPr>
  </w:style>
  <w:style w:type="paragraph" w:styleId="a8">
    <w:name w:val="Intense Quote"/>
    <w:basedOn w:val="a"/>
    <w:next w:val="a"/>
    <w:link w:val="Char2"/>
    <w:uiPriority w:val="30"/>
    <w:qFormat/>
    <w:rsid w:val="002A0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2A0474"/>
    <w:rPr>
      <w:i/>
      <w:iCs/>
      <w:color w:val="0F4761" w:themeColor="accent1" w:themeShade="BF"/>
    </w:rPr>
  </w:style>
  <w:style w:type="character" w:styleId="a9">
    <w:name w:val="Intense Reference"/>
    <w:basedOn w:val="a0"/>
    <w:uiPriority w:val="32"/>
    <w:qFormat/>
    <w:rsid w:val="002A04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85367">
      <w:bodyDiv w:val="1"/>
      <w:marLeft w:val="0"/>
      <w:marRight w:val="0"/>
      <w:marTop w:val="0"/>
      <w:marBottom w:val="0"/>
      <w:divBdr>
        <w:top w:val="none" w:sz="0" w:space="0" w:color="auto"/>
        <w:left w:val="none" w:sz="0" w:space="0" w:color="auto"/>
        <w:bottom w:val="none" w:sz="0" w:space="0" w:color="auto"/>
        <w:right w:val="none" w:sz="0" w:space="0" w:color="auto"/>
      </w:divBdr>
      <w:divsChild>
        <w:div w:id="118571778">
          <w:marLeft w:val="0"/>
          <w:marRight w:val="0"/>
          <w:marTop w:val="0"/>
          <w:marBottom w:val="0"/>
          <w:divBdr>
            <w:top w:val="none" w:sz="0" w:space="0" w:color="auto"/>
            <w:left w:val="none" w:sz="0" w:space="0" w:color="auto"/>
            <w:bottom w:val="none" w:sz="0" w:space="0" w:color="auto"/>
            <w:right w:val="none" w:sz="0" w:space="0" w:color="auto"/>
          </w:divBdr>
        </w:div>
      </w:divsChild>
    </w:div>
    <w:div w:id="935672735">
      <w:bodyDiv w:val="1"/>
      <w:marLeft w:val="0"/>
      <w:marRight w:val="0"/>
      <w:marTop w:val="0"/>
      <w:marBottom w:val="0"/>
      <w:divBdr>
        <w:top w:val="none" w:sz="0" w:space="0" w:color="auto"/>
        <w:left w:val="none" w:sz="0" w:space="0" w:color="auto"/>
        <w:bottom w:val="none" w:sz="0" w:space="0" w:color="auto"/>
        <w:right w:val="none" w:sz="0" w:space="0" w:color="auto"/>
      </w:divBdr>
      <w:divsChild>
        <w:div w:id="90919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2024-09-26T08:23:00Z</dcterms:created>
  <dcterms:modified xsi:type="dcterms:W3CDTF">2024-09-26T08:23:00Z</dcterms:modified>
</cp:coreProperties>
</file>