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AAD5A" w14:textId="6E445B9E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bookmarkStart w:id="0" w:name="_GoBack"/>
      <w:bookmarkEnd w:id="0"/>
      <w:proofErr w:type="spellStart"/>
      <w:r w:rsidRPr="00F45517">
        <w:rPr>
          <w:rFonts w:hAnsiTheme="minorEastAsia" w:cs="굴림체"/>
          <w:sz w:val="20"/>
          <w:szCs w:val="20"/>
        </w:rPr>
        <w:t>장공련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</w:t>
      </w:r>
      <w:r w:rsidR="00782AD2">
        <w:rPr>
          <w:rFonts w:hAnsiTheme="minorEastAsia" w:cs="굴림체" w:hint="eastAsia"/>
          <w:sz w:val="20"/>
          <w:szCs w:val="20"/>
        </w:rPr>
        <w:t>통지</w:t>
      </w:r>
      <w:r w:rsidRPr="00F45517">
        <w:rPr>
          <w:rFonts w:hAnsiTheme="minorEastAsia" w:cs="굴림체"/>
          <w:sz w:val="20"/>
          <w:szCs w:val="20"/>
        </w:rPr>
        <w:t xml:space="preserve"> 제20220006호</w:t>
      </w:r>
    </w:p>
    <w:p w14:paraId="30B8FC49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2022년 9월 1일</w:t>
      </w:r>
    </w:p>
    <w:p w14:paraId="43B344E6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40F2E695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일본화장품공업연합회 산하 회원사 여러분께</w:t>
      </w:r>
    </w:p>
    <w:p w14:paraId="06DF2B2D" w14:textId="77777777" w:rsidR="00782AD2" w:rsidRDefault="002E2E07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</w:t>
      </w:r>
    </w:p>
    <w:p w14:paraId="674392F9" w14:textId="4A428F50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기술위원장</w:t>
      </w:r>
      <w:r w:rsidR="00782AD2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="00782AD2">
        <w:rPr>
          <w:rFonts w:hAnsiTheme="minorEastAsia" w:cs="굴림체" w:hint="eastAsia"/>
          <w:sz w:val="20"/>
          <w:szCs w:val="20"/>
        </w:rPr>
        <w:t>기</w:t>
      </w:r>
      <w:r w:rsidRPr="00F45517">
        <w:rPr>
          <w:rFonts w:hAnsiTheme="minorEastAsia" w:cs="굴림체"/>
          <w:sz w:val="20"/>
          <w:szCs w:val="20"/>
        </w:rPr>
        <w:t>타가키</w:t>
      </w:r>
      <w:proofErr w:type="spellEnd"/>
      <w:r w:rsidR="00782AD2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마사토</w:t>
      </w:r>
      <w:proofErr w:type="spellEnd"/>
    </w:p>
    <w:p w14:paraId="266A533E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4896AC38" w14:textId="5A8EFF65" w:rsidR="00782AD2" w:rsidRPr="00782AD2" w:rsidRDefault="002E2E07" w:rsidP="00940F1D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782AD2">
        <w:rPr>
          <w:rFonts w:hAnsiTheme="minorEastAsia" w:cs="굴림체"/>
          <w:b/>
          <w:bCs/>
          <w:sz w:val="20"/>
          <w:szCs w:val="20"/>
        </w:rPr>
        <w:t>일본화장품공업연합회 UVA 방지효과 측정법 기준에 대해</w:t>
      </w:r>
    </w:p>
    <w:p w14:paraId="0BDD04D5" w14:textId="536165E6" w:rsidR="002E2E07" w:rsidRPr="00782AD2" w:rsidRDefault="002E2E07" w:rsidP="00940F1D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782AD2">
        <w:rPr>
          <w:rFonts w:hAnsiTheme="minorEastAsia" w:cs="굴림체"/>
          <w:b/>
          <w:bCs/>
          <w:sz w:val="20"/>
          <w:szCs w:val="20"/>
        </w:rPr>
        <w:t>- 2022년</w:t>
      </w:r>
      <w:r w:rsidR="00782AD2" w:rsidRPr="00782AD2">
        <w:rPr>
          <w:rFonts w:hAnsiTheme="minorEastAsia" w:cs="굴림체" w:hint="eastAsia"/>
          <w:b/>
          <w:bCs/>
          <w:sz w:val="20"/>
          <w:szCs w:val="20"/>
        </w:rPr>
        <w:t xml:space="preserve">의 </w:t>
      </w:r>
      <w:r w:rsidRPr="00782AD2">
        <w:rPr>
          <w:rFonts w:hAnsiTheme="minorEastAsia" w:cs="굴림체"/>
          <w:b/>
          <w:bCs/>
          <w:sz w:val="20"/>
          <w:szCs w:val="20"/>
        </w:rPr>
        <w:t>ISO24442 개정에 따른 변경사항</w:t>
      </w:r>
    </w:p>
    <w:p w14:paraId="390F0824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629A777" w14:textId="77777777" w:rsidR="00782AD2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여러분의 건승을 기원합니다. </w:t>
      </w:r>
    </w:p>
    <w:p w14:paraId="02A5E376" w14:textId="26731D43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일본화장품공업연합회(</w:t>
      </w:r>
      <w:proofErr w:type="spellStart"/>
      <w:r w:rsidRPr="00F45517">
        <w:rPr>
          <w:rFonts w:hAnsiTheme="minorEastAsia" w:cs="굴림체"/>
          <w:sz w:val="20"/>
          <w:szCs w:val="20"/>
        </w:rPr>
        <w:t>장공련</w:t>
      </w:r>
      <w:proofErr w:type="spellEnd"/>
      <w:r w:rsidRPr="00F45517">
        <w:rPr>
          <w:rFonts w:hAnsiTheme="minorEastAsia" w:cs="굴림체"/>
          <w:sz w:val="20"/>
          <w:szCs w:val="20"/>
        </w:rPr>
        <w:t>)에서는 2012년 6월 20일</w:t>
      </w:r>
      <w:r w:rsidR="00754D98">
        <w:rPr>
          <w:rFonts w:hAnsiTheme="minorEastAsia" w:cs="굴림체" w:hint="eastAsia"/>
          <w:sz w:val="20"/>
          <w:szCs w:val="20"/>
        </w:rPr>
        <w:t xml:space="preserve">일자 </w:t>
      </w:r>
      <w:r w:rsidR="00754D98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 xml:space="preserve">일본화장품공업연합회 UVA </w:t>
      </w:r>
      <w:proofErr w:type="spellStart"/>
      <w:r w:rsidRPr="00F45517">
        <w:rPr>
          <w:rFonts w:hAnsiTheme="minorEastAsia" w:cs="굴림체"/>
          <w:sz w:val="20"/>
          <w:szCs w:val="20"/>
        </w:rPr>
        <w:t>방지효과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측정법 기준 개정에 대</w:t>
      </w:r>
      <w:r w:rsidR="00754D98">
        <w:rPr>
          <w:rFonts w:hAnsiTheme="minorEastAsia" w:cs="굴림체" w:hint="eastAsia"/>
          <w:sz w:val="20"/>
          <w:szCs w:val="20"/>
        </w:rPr>
        <w:t>해</w:t>
      </w:r>
      <w:r w:rsidR="00754D98">
        <w:rPr>
          <w:rFonts w:hAnsiTheme="minorEastAsia" w:cs="굴림체"/>
          <w:sz w:val="20"/>
          <w:szCs w:val="20"/>
        </w:rPr>
        <w:t>”</w:t>
      </w:r>
      <w:r w:rsidR="00754D98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(24</w:t>
      </w:r>
      <w:r w:rsidR="00835533">
        <w:rPr>
          <w:rFonts w:hAnsiTheme="minorEastAsia" w:cs="굴림체"/>
          <w:sz w:val="20"/>
          <w:szCs w:val="20"/>
        </w:rPr>
        <w:t xml:space="preserve"> </w:t>
      </w:r>
      <w:proofErr w:type="spellStart"/>
      <w:r w:rsidR="00754D98">
        <w:rPr>
          <w:rFonts w:hAnsiTheme="minorEastAsia" w:cs="굴림체" w:hint="eastAsia"/>
          <w:sz w:val="20"/>
          <w:szCs w:val="20"/>
        </w:rPr>
        <w:t>장공련</w:t>
      </w:r>
      <w:proofErr w:type="spellEnd"/>
      <w:r w:rsidR="00754D98">
        <w:rPr>
          <w:rFonts w:hAnsiTheme="minorEastAsia" w:cs="굴림체" w:hint="eastAsia"/>
          <w:sz w:val="20"/>
          <w:szCs w:val="20"/>
        </w:rPr>
        <w:t xml:space="preserve"> 제3호)라는 </w:t>
      </w:r>
      <w:r w:rsidRPr="00F45517">
        <w:rPr>
          <w:rFonts w:hAnsiTheme="minorEastAsia" w:cs="굴림체"/>
          <w:sz w:val="20"/>
          <w:szCs w:val="20"/>
        </w:rPr>
        <w:t>제목의 측정법을 화장품공업연합회의 자</w:t>
      </w:r>
      <w:r w:rsidR="00754D98">
        <w:rPr>
          <w:rFonts w:hAnsiTheme="minorEastAsia" w:cs="굴림체" w:hint="eastAsia"/>
          <w:sz w:val="20"/>
          <w:szCs w:val="20"/>
        </w:rPr>
        <w:t xml:space="preserve">주적 </w:t>
      </w:r>
      <w:r w:rsidRPr="00F45517">
        <w:rPr>
          <w:rFonts w:hAnsiTheme="minorEastAsia" w:cs="굴림체"/>
          <w:sz w:val="20"/>
          <w:szCs w:val="20"/>
        </w:rPr>
        <w:t>기준으로 운용하고 있</w:t>
      </w:r>
      <w:r w:rsidR="00754D98">
        <w:rPr>
          <w:rFonts w:hAnsiTheme="minorEastAsia" w:cs="굴림체" w:hint="eastAsia"/>
          <w:sz w:val="20"/>
          <w:szCs w:val="20"/>
        </w:rPr>
        <w:t xml:space="preserve">는데, </w:t>
      </w:r>
      <w:r w:rsidRPr="00F45517">
        <w:rPr>
          <w:rFonts w:hAnsiTheme="minorEastAsia" w:cs="굴림체"/>
          <w:sz w:val="20"/>
          <w:szCs w:val="20"/>
        </w:rPr>
        <w:t>이 자</w:t>
      </w:r>
      <w:r w:rsidR="00754D98">
        <w:rPr>
          <w:rFonts w:hAnsiTheme="minorEastAsia" w:cs="굴림체" w:hint="eastAsia"/>
          <w:sz w:val="20"/>
          <w:szCs w:val="20"/>
        </w:rPr>
        <w:t xml:space="preserve">주적 </w:t>
      </w:r>
      <w:r w:rsidRPr="00F45517">
        <w:rPr>
          <w:rFonts w:hAnsiTheme="minorEastAsia" w:cs="굴림체"/>
          <w:sz w:val="20"/>
          <w:szCs w:val="20"/>
        </w:rPr>
        <w:t>기준에서는 ISO24442 Cosmetics - Sun protection test methods - In vivo determination of sunscreen UVA protection</w:t>
      </w:r>
      <w:r w:rsidR="00754D98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 xml:space="preserve"> 측정법으로 선</w:t>
      </w:r>
      <w:r w:rsidR="00754D98">
        <w:rPr>
          <w:rFonts w:hAnsiTheme="minorEastAsia" w:cs="굴림체" w:hint="eastAsia"/>
          <w:sz w:val="20"/>
          <w:szCs w:val="20"/>
        </w:rPr>
        <w:t>정되어 있</w:t>
      </w:r>
      <w:r w:rsidRPr="00F45517">
        <w:rPr>
          <w:rFonts w:hAnsiTheme="minorEastAsia" w:cs="굴림체"/>
          <w:sz w:val="20"/>
          <w:szCs w:val="20"/>
        </w:rPr>
        <w:t>습니다.</w:t>
      </w:r>
    </w:p>
    <w:p w14:paraId="3113E4E2" w14:textId="5EAE7DF1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2022년 6월 ISO24442 (2022)</w:t>
      </w:r>
      <w:r w:rsidR="00754D98">
        <w:rPr>
          <w:rFonts w:hAnsiTheme="minorEastAsia" w:cs="굴림체" w:hint="eastAsia"/>
          <w:sz w:val="20"/>
          <w:szCs w:val="20"/>
        </w:rPr>
        <w:t>에서</w:t>
      </w:r>
      <w:r w:rsidRPr="00F45517">
        <w:rPr>
          <w:rFonts w:hAnsiTheme="minorEastAsia" w:cs="굴림체"/>
          <w:sz w:val="20"/>
          <w:szCs w:val="20"/>
        </w:rPr>
        <w:t xml:space="preserve"> 제2판이 ISO(국제표준화기구)에서 발행되었으므로, </w:t>
      </w:r>
      <w:r w:rsidR="00754D98">
        <w:rPr>
          <w:rFonts w:hAnsiTheme="minorEastAsia" w:cs="굴림체" w:hint="eastAsia"/>
          <w:sz w:val="20"/>
          <w:szCs w:val="20"/>
        </w:rPr>
        <w:t>추</w:t>
      </w:r>
      <w:r w:rsidRPr="00F45517">
        <w:rPr>
          <w:rFonts w:hAnsiTheme="minorEastAsia" w:cs="굴림체"/>
          <w:sz w:val="20"/>
          <w:szCs w:val="20"/>
        </w:rPr>
        <w:t>후 UVA 차단효과</w:t>
      </w:r>
      <w:r w:rsidR="00754D98">
        <w:rPr>
          <w:rFonts w:hAnsiTheme="minorEastAsia" w:cs="굴림체" w:hint="eastAsia"/>
          <w:sz w:val="20"/>
          <w:szCs w:val="20"/>
        </w:rPr>
        <w:t>를</w:t>
      </w:r>
      <w:r w:rsidRPr="00F45517">
        <w:rPr>
          <w:rFonts w:hAnsiTheme="minorEastAsia" w:cs="굴림체"/>
          <w:sz w:val="20"/>
          <w:szCs w:val="20"/>
        </w:rPr>
        <w:t xml:space="preserve"> 측정 시 최신 시험법</w:t>
      </w:r>
      <w:r w:rsidR="00754D98">
        <w:rPr>
          <w:rFonts w:hAnsiTheme="minorEastAsia" w:cs="굴림체" w:hint="eastAsia"/>
          <w:sz w:val="20"/>
          <w:szCs w:val="20"/>
        </w:rPr>
        <w:t>으로서</w:t>
      </w:r>
      <w:r w:rsidRPr="00F45517">
        <w:rPr>
          <w:rFonts w:hAnsiTheme="minorEastAsia" w:cs="굴림체"/>
          <w:sz w:val="20"/>
          <w:szCs w:val="20"/>
        </w:rPr>
        <w:t xml:space="preserve"> ISO24442 (2022)로 변경하여 주시기 바랍니다. ISO24442 (2011)의 주요 변경 사항은 다음과 같습니다. 참고하여 주시기 바랍니다.</w:t>
      </w:r>
    </w:p>
    <w:p w14:paraId="0C9F2AF6" w14:textId="0E124A70" w:rsidR="00754D98" w:rsidRDefault="00754D98" w:rsidP="00940F1D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 xml:space="preserve">더불어, </w:t>
      </w:r>
      <w:r w:rsidR="002E2E07" w:rsidRPr="00F45517">
        <w:rPr>
          <w:rFonts w:hAnsiTheme="minorEastAsia" w:cs="굴림체"/>
          <w:sz w:val="20"/>
          <w:szCs w:val="20"/>
        </w:rPr>
        <w:t>ISO24442:</w:t>
      </w:r>
      <w:r>
        <w:rPr>
          <w:rFonts w:hAnsiTheme="minorEastAsia" w:cs="굴림체" w:hint="eastAsia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>2022(영문판)은 일본표준협회에서 구입하실 수 있습니다.</w:t>
      </w:r>
    </w:p>
    <w:p w14:paraId="634082BA" w14:textId="7408CB3C" w:rsidR="002E2E07" w:rsidRPr="00754D98" w:rsidRDefault="008043B5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hyperlink r:id="rId4" w:history="1">
        <w:r w:rsidR="00754D98" w:rsidRPr="003A3FE9">
          <w:rPr>
            <w:rStyle w:val="a5"/>
            <w:rFonts w:hAnsiTheme="minorEastAsia" w:cs="굴림체"/>
            <w:sz w:val="20"/>
            <w:szCs w:val="20"/>
          </w:rPr>
          <w:t>https://webdesk.jsa.or.jp/books/W11M0090/index/?bunsyo_id=ISO+24442%3A2022</w:t>
        </w:r>
      </w:hyperlink>
      <w:r w:rsidR="00754D98">
        <w:rPr>
          <w:rFonts w:hAnsiTheme="minorEastAsia" w:cs="굴림체" w:hint="eastAsia"/>
          <w:sz w:val="20"/>
          <w:szCs w:val="20"/>
        </w:rPr>
        <w:t xml:space="preserve"> </w:t>
      </w:r>
    </w:p>
    <w:p w14:paraId="3CE3F522" w14:textId="03A9BBB1" w:rsidR="002E2E07" w:rsidRPr="00F45517" w:rsidRDefault="00754D98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002DB2CE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4313950" w14:textId="1E910C39" w:rsidR="002E2E07" w:rsidRPr="00F45517" w:rsidRDefault="00754D98" w:rsidP="00940F1D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아래</w:t>
      </w:r>
    </w:p>
    <w:p w14:paraId="1F709FE9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EB37A72" w14:textId="5C1D474D" w:rsidR="002E2E07" w:rsidRPr="009955E2" w:rsidRDefault="00B3263F" w:rsidP="00940F1D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9955E2">
        <w:rPr>
          <w:rFonts w:hAnsiTheme="minorEastAsia" w:cs="굴림체"/>
          <w:b/>
          <w:bCs/>
          <w:sz w:val="20"/>
          <w:szCs w:val="20"/>
        </w:rPr>
        <w:t>“</w:t>
      </w:r>
      <w:r w:rsidR="002E2E07" w:rsidRPr="009955E2">
        <w:rPr>
          <w:rFonts w:hAnsiTheme="minorEastAsia" w:cs="굴림체"/>
          <w:b/>
          <w:bCs/>
          <w:sz w:val="20"/>
          <w:szCs w:val="20"/>
        </w:rPr>
        <w:t>ISO24442(2011)</w:t>
      </w:r>
      <w:r w:rsidRPr="009955E2">
        <w:rPr>
          <w:rFonts w:hAnsiTheme="minorEastAsia" w:cs="굴림체"/>
          <w:b/>
          <w:bCs/>
          <w:sz w:val="20"/>
          <w:szCs w:val="20"/>
        </w:rPr>
        <w:t>”</w:t>
      </w:r>
      <w:r w:rsidR="002E2E07" w:rsidRPr="009955E2">
        <w:rPr>
          <w:rFonts w:hAnsiTheme="minorEastAsia" w:cs="굴림체"/>
          <w:b/>
          <w:bCs/>
          <w:sz w:val="20"/>
          <w:szCs w:val="20"/>
        </w:rPr>
        <w:t xml:space="preserve">와 </w:t>
      </w:r>
      <w:r w:rsidRPr="009955E2">
        <w:rPr>
          <w:rFonts w:hAnsiTheme="minorEastAsia" w:cs="굴림체"/>
          <w:b/>
          <w:bCs/>
          <w:sz w:val="20"/>
          <w:szCs w:val="20"/>
        </w:rPr>
        <w:t>“</w:t>
      </w:r>
      <w:r w:rsidR="002E2E07" w:rsidRPr="009955E2">
        <w:rPr>
          <w:rFonts w:hAnsiTheme="minorEastAsia" w:cs="굴림체"/>
          <w:b/>
          <w:bCs/>
          <w:sz w:val="20"/>
          <w:szCs w:val="20"/>
        </w:rPr>
        <w:t>ISO24442(2022)</w:t>
      </w:r>
      <w:r w:rsidRPr="009955E2">
        <w:rPr>
          <w:rFonts w:hAnsiTheme="minorEastAsia" w:cs="굴림체"/>
          <w:b/>
          <w:bCs/>
          <w:sz w:val="20"/>
          <w:szCs w:val="20"/>
        </w:rPr>
        <w:t>”</w:t>
      </w:r>
      <w:r w:rsidR="002E2E07" w:rsidRPr="009955E2">
        <w:rPr>
          <w:rFonts w:hAnsiTheme="minorEastAsia" w:cs="굴림체"/>
          <w:b/>
          <w:bCs/>
          <w:sz w:val="20"/>
          <w:szCs w:val="20"/>
        </w:rPr>
        <w:t>의 주요 변경 사항</w:t>
      </w:r>
    </w:p>
    <w:p w14:paraId="066D483A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E43B816" w14:textId="7C9D90F3" w:rsidR="00670578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(1) </w:t>
      </w:r>
      <w:proofErr w:type="spellStart"/>
      <w:r w:rsidRPr="00F45517">
        <w:rPr>
          <w:rFonts w:hAnsiTheme="minorEastAsia" w:cs="굴림체"/>
          <w:sz w:val="20"/>
          <w:szCs w:val="20"/>
        </w:rPr>
        <w:t>최소지속형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흑화량</w:t>
      </w:r>
      <w:proofErr w:type="spellEnd"/>
      <w:r w:rsidRPr="00F45517">
        <w:rPr>
          <w:rFonts w:hAnsiTheme="minorEastAsia" w:cs="굴림체"/>
          <w:sz w:val="20"/>
          <w:szCs w:val="20"/>
        </w:rPr>
        <w:t>(MPPDD) 기준의 정의가 변경되었다. MPPDD 판정 시</w:t>
      </w:r>
      <w:r w:rsidR="00341E74">
        <w:rPr>
          <w:rFonts w:hAnsiTheme="minorEastAsia" w:cs="굴림체" w:hint="eastAsia"/>
          <w:sz w:val="20"/>
          <w:szCs w:val="20"/>
        </w:rPr>
        <w:t xml:space="preserve">의 </w:t>
      </w:r>
      <w:r w:rsidRPr="00F45517">
        <w:rPr>
          <w:rFonts w:hAnsiTheme="minorEastAsia" w:cs="굴림체"/>
          <w:sz w:val="20"/>
          <w:szCs w:val="20"/>
        </w:rPr>
        <w:t>지속형 즉시</w:t>
      </w:r>
      <w:r w:rsidR="00642E9F">
        <w:rPr>
          <w:rFonts w:hAnsiTheme="minorEastAsia" w:cs="굴림체" w:hint="eastAsia"/>
          <w:sz w:val="20"/>
          <w:szCs w:val="20"/>
        </w:rPr>
        <w:t xml:space="preserve"> 흑</w:t>
      </w:r>
      <w:r w:rsidRPr="00F45517">
        <w:rPr>
          <w:rFonts w:hAnsiTheme="minorEastAsia" w:cs="굴림체"/>
          <w:sz w:val="20"/>
          <w:szCs w:val="20"/>
        </w:rPr>
        <w:t>화에 대해</w:t>
      </w:r>
      <w:r w:rsidR="00341E74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자외선 조사 부위의 대부분에서 경계가 뚜렷하고 희미한 지속형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흑화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에서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자외선 조사 부위의 50% 이상에서 경계가 뚜렷하고 희미한 지속형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흑화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로 개정되었다. </w:t>
      </w:r>
    </w:p>
    <w:p w14:paraId="663B6896" w14:textId="204054F1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(2) 피험자 선정 시 </w:t>
      </w:r>
      <w:proofErr w:type="spellStart"/>
      <w:r w:rsidRPr="00F45517">
        <w:rPr>
          <w:rFonts w:hAnsiTheme="minorEastAsia" w:cs="굴림체"/>
          <w:sz w:val="20"/>
          <w:szCs w:val="20"/>
        </w:rPr>
        <w:t>피츠패트릭의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</w:t>
      </w:r>
      <w:proofErr w:type="spellStart"/>
      <w:r w:rsidR="00670578">
        <w:rPr>
          <w:rFonts w:hAnsiTheme="minorEastAsia" w:cs="굴림체" w:hint="eastAsia"/>
          <w:sz w:val="20"/>
          <w:szCs w:val="20"/>
        </w:rPr>
        <w:t>스킨</w:t>
      </w:r>
      <w:r w:rsidRPr="00F45517">
        <w:rPr>
          <w:rFonts w:hAnsiTheme="minorEastAsia" w:cs="굴림체"/>
          <w:sz w:val="20"/>
          <w:szCs w:val="20"/>
        </w:rPr>
        <w:t>타입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분류가 폐지되</w:t>
      </w:r>
      <w:r w:rsidR="00670578">
        <w:rPr>
          <w:rFonts w:hAnsiTheme="minorEastAsia" w:cs="굴림체" w:hint="eastAsia"/>
          <w:sz w:val="20"/>
          <w:szCs w:val="20"/>
        </w:rPr>
        <w:t xml:space="preserve">었고, </w:t>
      </w:r>
      <w:r w:rsidRPr="00F45517">
        <w:rPr>
          <w:rFonts w:hAnsiTheme="minorEastAsia" w:cs="굴림체"/>
          <w:sz w:val="20"/>
          <w:szCs w:val="20"/>
        </w:rPr>
        <w:t>Individual Typology Angle (ITA°)에 의한 선택만 가능</w:t>
      </w:r>
      <w:r w:rsidR="00D64ACF">
        <w:rPr>
          <w:rFonts w:hAnsiTheme="minorEastAsia" w:cs="굴림체" w:hint="eastAsia"/>
          <w:sz w:val="20"/>
          <w:szCs w:val="20"/>
        </w:rPr>
        <w:t>하며</w:t>
      </w:r>
      <w:r w:rsidRPr="00F45517">
        <w:rPr>
          <w:rFonts w:hAnsiTheme="minorEastAsia" w:cs="굴림체"/>
          <w:sz w:val="20"/>
          <w:szCs w:val="20"/>
        </w:rPr>
        <w:t>, UVAPF의 시험에는</w:t>
      </w:r>
      <w:r w:rsidR="00F85B3B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ITA°가 18°에서 43°인 피험자를 사용해야 한다는 점 등이 추가되었다.</w:t>
      </w:r>
    </w:p>
    <w:p w14:paraId="15E980F6" w14:textId="00A4C06B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lastRenderedPageBreak/>
        <w:t>(3) 다양한 UVAPF 값의 제품에 대응하기 위해</w:t>
      </w:r>
      <w:r w:rsidR="00722588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지금까지</w:t>
      </w:r>
      <w:r w:rsidR="0072258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두 가지 표준</w:t>
      </w:r>
      <w:r w:rsidR="00722588">
        <w:rPr>
          <w:rFonts w:hAnsiTheme="minorEastAsia" w:cs="굴림체" w:hint="eastAsia"/>
          <w:sz w:val="20"/>
          <w:szCs w:val="20"/>
        </w:rPr>
        <w:t>시료</w:t>
      </w:r>
      <w:r w:rsidRPr="00F45517">
        <w:rPr>
          <w:rFonts w:hAnsiTheme="minorEastAsia" w:cs="굴림체"/>
          <w:sz w:val="20"/>
          <w:szCs w:val="20"/>
        </w:rPr>
        <w:t xml:space="preserve">(S1: 4.4, S2: 12.7) 외에 </w:t>
      </w:r>
      <w:r w:rsidR="00722588">
        <w:rPr>
          <w:rFonts w:hAnsiTheme="minorEastAsia" w:cs="굴림체" w:hint="eastAsia"/>
          <w:sz w:val="20"/>
          <w:szCs w:val="20"/>
        </w:rPr>
        <w:t>세 가지</w:t>
      </w:r>
      <w:r w:rsidRPr="00F45517">
        <w:rPr>
          <w:rFonts w:hAnsiTheme="minorEastAsia" w:cs="굴림체"/>
          <w:sz w:val="20"/>
          <w:szCs w:val="20"/>
        </w:rPr>
        <w:t xml:space="preserve"> 표준시료(P2: 2.7, P5: 13.4 및 P8: 27.5)가 새롭게 추가되었다.</w:t>
      </w:r>
    </w:p>
    <w:p w14:paraId="719766CA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(4) 시료의 도포 방법에 대해 제형별로 상세히 기술하였다.</w:t>
      </w:r>
    </w:p>
    <w:p w14:paraId="75E4B7A2" w14:textId="6A6AA74D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(5) 광원 빔</w:t>
      </w:r>
      <w:r w:rsidR="0072258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균일성에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대해</w:t>
      </w:r>
      <w:r w:rsidR="00722588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UV 감응 필름 또는 UV 센서를 이용하여</w:t>
      </w:r>
      <w:r w:rsidR="00722588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태양열 시뮬레이터</w:t>
      </w:r>
      <w:r w:rsidR="0072258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유형별로 확인 방법이 정의되</w:t>
      </w:r>
      <w:r w:rsidR="00722588">
        <w:rPr>
          <w:rFonts w:hAnsiTheme="minorEastAsia" w:cs="굴림체" w:hint="eastAsia"/>
          <w:sz w:val="20"/>
          <w:szCs w:val="20"/>
        </w:rPr>
        <w:t>었</w:t>
      </w:r>
      <w:r w:rsidRPr="00F45517">
        <w:rPr>
          <w:rFonts w:hAnsiTheme="minorEastAsia" w:cs="굴림체"/>
          <w:sz w:val="20"/>
          <w:szCs w:val="20"/>
        </w:rPr>
        <w:t xml:space="preserve">고, </w:t>
      </w:r>
      <w:proofErr w:type="spellStart"/>
      <w:r w:rsidRPr="00F45517">
        <w:rPr>
          <w:rFonts w:hAnsiTheme="minorEastAsia" w:cs="굴림체"/>
          <w:sz w:val="20"/>
          <w:szCs w:val="20"/>
        </w:rPr>
        <w:t>다출력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장치에 대해서는 전체 광속의 평균 균일성이 90% 이상이며, 개별 출력 광속의 균일성이 85% 이상이어야 한다는 요건이 추가되었다. </w:t>
      </w:r>
    </w:p>
    <w:p w14:paraId="73CCD086" w14:textId="4A2BCF25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(6) </w:t>
      </w:r>
      <w:proofErr w:type="spellStart"/>
      <w:r w:rsidRPr="00F45517">
        <w:rPr>
          <w:rFonts w:hAnsiTheme="minorEastAsia" w:cs="굴림체"/>
          <w:sz w:val="20"/>
          <w:szCs w:val="20"/>
        </w:rPr>
        <w:t>지속형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흑화반응을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등급화</w:t>
      </w:r>
      <w:r w:rsidR="00722588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하기 위한 가이드라인이 되는 </w:t>
      </w:r>
      <w:proofErr w:type="spellStart"/>
      <w:r w:rsidRPr="00F45517">
        <w:rPr>
          <w:rFonts w:hAnsiTheme="minorEastAsia" w:cs="굴림체"/>
          <w:sz w:val="20"/>
          <w:szCs w:val="20"/>
        </w:rPr>
        <w:t>지속형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즉시 </w:t>
      </w:r>
      <w:proofErr w:type="spellStart"/>
      <w:r w:rsidRPr="00F45517">
        <w:rPr>
          <w:rFonts w:hAnsiTheme="minorEastAsia" w:cs="굴림체"/>
          <w:sz w:val="20"/>
          <w:szCs w:val="20"/>
        </w:rPr>
        <w:t>흑화반응의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사진 예가 부록에 추가되었다.</w:t>
      </w:r>
    </w:p>
    <w:p w14:paraId="2F2E7393" w14:textId="3307FC4B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ind w:left="284" w:hangingChars="142" w:hanging="284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(7) 모든 조사 영역에서 </w:t>
      </w:r>
      <w:proofErr w:type="spellStart"/>
      <w:r w:rsidRPr="00F45517">
        <w:rPr>
          <w:rFonts w:hAnsiTheme="minorEastAsia" w:cs="굴림체"/>
          <w:sz w:val="20"/>
          <w:szCs w:val="20"/>
        </w:rPr>
        <w:t>지속형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흑화반응이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나타난 경우</w:t>
      </w:r>
      <w:r w:rsidR="002C67A9">
        <w:rPr>
          <w:rFonts w:hAnsiTheme="minorEastAsia" w:cs="굴림체" w:hint="eastAsia"/>
          <w:sz w:val="20"/>
          <w:szCs w:val="20"/>
        </w:rPr>
        <w:t>나</w:t>
      </w:r>
      <w:r w:rsidRPr="00F45517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지속형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즉시</w:t>
      </w:r>
      <w:r w:rsidR="00642E9F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흑화반응에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조사량 의존성이 인정되지 않</w:t>
      </w:r>
      <w:r w:rsidR="002C67A9">
        <w:rPr>
          <w:rFonts w:hAnsiTheme="minorEastAsia" w:cs="굴림체" w:hint="eastAsia"/>
          <w:sz w:val="20"/>
          <w:szCs w:val="20"/>
        </w:rPr>
        <w:t>은</w:t>
      </w:r>
      <w:r w:rsidRPr="00F45517">
        <w:rPr>
          <w:rFonts w:hAnsiTheme="minorEastAsia" w:cs="굴림체"/>
          <w:sz w:val="20"/>
          <w:szCs w:val="20"/>
        </w:rPr>
        <w:t xml:space="preserve"> 경우 등 데이터 </w:t>
      </w:r>
      <w:r w:rsidR="002C67A9">
        <w:rPr>
          <w:rFonts w:hAnsiTheme="minorEastAsia" w:cs="굴림체" w:hint="eastAsia"/>
          <w:sz w:val="20"/>
          <w:szCs w:val="20"/>
        </w:rPr>
        <w:t>폐기</w:t>
      </w:r>
      <w:r w:rsidRPr="00F45517">
        <w:rPr>
          <w:rFonts w:hAnsiTheme="minorEastAsia" w:cs="굴림체"/>
          <w:sz w:val="20"/>
          <w:szCs w:val="20"/>
        </w:rPr>
        <w:t>의 판단기준</w:t>
      </w:r>
      <w:r w:rsidR="002C67A9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 xml:space="preserve"> 사례별로 상세히 기술</w:t>
      </w:r>
      <w:r w:rsidR="002C67A9">
        <w:rPr>
          <w:rFonts w:hAnsiTheme="minorEastAsia" w:cs="굴림체" w:hint="eastAsia"/>
          <w:sz w:val="20"/>
          <w:szCs w:val="20"/>
        </w:rPr>
        <w:t>되었다.</w:t>
      </w:r>
    </w:p>
    <w:p w14:paraId="24148F4B" w14:textId="77777777" w:rsidR="002E2E07" w:rsidRPr="00F45517" w:rsidRDefault="002E2E07" w:rsidP="00940F1D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0C7A29C" w14:textId="2EB8D218" w:rsidR="002E2E07" w:rsidRPr="00F45517" w:rsidRDefault="002C67A9" w:rsidP="00940F1D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sectPr w:rsidR="002E2E07" w:rsidRPr="00F45517" w:rsidSect="00940F1D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22BA4"/>
    <w:rsid w:val="00044032"/>
    <w:rsid w:val="0007549B"/>
    <w:rsid w:val="00094725"/>
    <w:rsid w:val="000D2DD6"/>
    <w:rsid w:val="000D580A"/>
    <w:rsid w:val="000F077F"/>
    <w:rsid w:val="000F69FA"/>
    <w:rsid w:val="001202F7"/>
    <w:rsid w:val="00140A47"/>
    <w:rsid w:val="0017666E"/>
    <w:rsid w:val="0018453F"/>
    <w:rsid w:val="00192389"/>
    <w:rsid w:val="001D5357"/>
    <w:rsid w:val="001F3010"/>
    <w:rsid w:val="002122E8"/>
    <w:rsid w:val="00286D85"/>
    <w:rsid w:val="002C67A9"/>
    <w:rsid w:val="002E17BA"/>
    <w:rsid w:val="002E2E07"/>
    <w:rsid w:val="002F2E49"/>
    <w:rsid w:val="00300F8E"/>
    <w:rsid w:val="00341E74"/>
    <w:rsid w:val="00352F0B"/>
    <w:rsid w:val="003575B7"/>
    <w:rsid w:val="00375512"/>
    <w:rsid w:val="00390DC2"/>
    <w:rsid w:val="003940D5"/>
    <w:rsid w:val="003A3065"/>
    <w:rsid w:val="003C357C"/>
    <w:rsid w:val="003E1A77"/>
    <w:rsid w:val="003E2D1D"/>
    <w:rsid w:val="003E64D3"/>
    <w:rsid w:val="003F081B"/>
    <w:rsid w:val="0041636D"/>
    <w:rsid w:val="00452D68"/>
    <w:rsid w:val="00454708"/>
    <w:rsid w:val="00465995"/>
    <w:rsid w:val="004A2545"/>
    <w:rsid w:val="004A6E9C"/>
    <w:rsid w:val="004B4F48"/>
    <w:rsid w:val="00513578"/>
    <w:rsid w:val="00515F7D"/>
    <w:rsid w:val="005A0D92"/>
    <w:rsid w:val="005C7BFD"/>
    <w:rsid w:val="005E0561"/>
    <w:rsid w:val="005E30BA"/>
    <w:rsid w:val="005E36A0"/>
    <w:rsid w:val="005F4425"/>
    <w:rsid w:val="00610578"/>
    <w:rsid w:val="00611D54"/>
    <w:rsid w:val="00616ACD"/>
    <w:rsid w:val="006342B8"/>
    <w:rsid w:val="00642E9F"/>
    <w:rsid w:val="00646A2B"/>
    <w:rsid w:val="00651AD4"/>
    <w:rsid w:val="00654D89"/>
    <w:rsid w:val="00670578"/>
    <w:rsid w:val="00671885"/>
    <w:rsid w:val="00683D6D"/>
    <w:rsid w:val="00687C21"/>
    <w:rsid w:val="00694F56"/>
    <w:rsid w:val="006A7B06"/>
    <w:rsid w:val="006C4E28"/>
    <w:rsid w:val="006F1198"/>
    <w:rsid w:val="0070621A"/>
    <w:rsid w:val="00722588"/>
    <w:rsid w:val="00731403"/>
    <w:rsid w:val="00751F58"/>
    <w:rsid w:val="00754243"/>
    <w:rsid w:val="00754D98"/>
    <w:rsid w:val="007564B5"/>
    <w:rsid w:val="0076291C"/>
    <w:rsid w:val="007750AC"/>
    <w:rsid w:val="00782AD2"/>
    <w:rsid w:val="007B19C6"/>
    <w:rsid w:val="007D468E"/>
    <w:rsid w:val="007E3D33"/>
    <w:rsid w:val="007F3BA7"/>
    <w:rsid w:val="008043B5"/>
    <w:rsid w:val="00835533"/>
    <w:rsid w:val="00842051"/>
    <w:rsid w:val="0089294D"/>
    <w:rsid w:val="008B26EB"/>
    <w:rsid w:val="00914C8C"/>
    <w:rsid w:val="00940F1D"/>
    <w:rsid w:val="00945254"/>
    <w:rsid w:val="00953C00"/>
    <w:rsid w:val="00956BF9"/>
    <w:rsid w:val="00966790"/>
    <w:rsid w:val="009744BE"/>
    <w:rsid w:val="009955E2"/>
    <w:rsid w:val="009C373D"/>
    <w:rsid w:val="009E6EB5"/>
    <w:rsid w:val="009F59DA"/>
    <w:rsid w:val="00A27536"/>
    <w:rsid w:val="00A56986"/>
    <w:rsid w:val="00A979DA"/>
    <w:rsid w:val="00AC4878"/>
    <w:rsid w:val="00AD6F9E"/>
    <w:rsid w:val="00AE6C83"/>
    <w:rsid w:val="00B01D78"/>
    <w:rsid w:val="00B1355F"/>
    <w:rsid w:val="00B3263F"/>
    <w:rsid w:val="00B42136"/>
    <w:rsid w:val="00B52697"/>
    <w:rsid w:val="00B7550E"/>
    <w:rsid w:val="00B91C7B"/>
    <w:rsid w:val="00BC32F9"/>
    <w:rsid w:val="00C13058"/>
    <w:rsid w:val="00C22001"/>
    <w:rsid w:val="00C2245B"/>
    <w:rsid w:val="00C633AE"/>
    <w:rsid w:val="00C93340"/>
    <w:rsid w:val="00C97749"/>
    <w:rsid w:val="00CD2B2D"/>
    <w:rsid w:val="00CD681F"/>
    <w:rsid w:val="00CD7A19"/>
    <w:rsid w:val="00CF0D21"/>
    <w:rsid w:val="00D047DC"/>
    <w:rsid w:val="00D20FE0"/>
    <w:rsid w:val="00D30C79"/>
    <w:rsid w:val="00D35404"/>
    <w:rsid w:val="00D508FD"/>
    <w:rsid w:val="00D5121F"/>
    <w:rsid w:val="00D64ACF"/>
    <w:rsid w:val="00D67036"/>
    <w:rsid w:val="00D81814"/>
    <w:rsid w:val="00D85C7B"/>
    <w:rsid w:val="00D94514"/>
    <w:rsid w:val="00DA196D"/>
    <w:rsid w:val="00DA7200"/>
    <w:rsid w:val="00DB7547"/>
    <w:rsid w:val="00DC1B54"/>
    <w:rsid w:val="00DF55E7"/>
    <w:rsid w:val="00DF5EFD"/>
    <w:rsid w:val="00E855A2"/>
    <w:rsid w:val="00EC2FC8"/>
    <w:rsid w:val="00EE185B"/>
    <w:rsid w:val="00EE45FF"/>
    <w:rsid w:val="00EE6DFF"/>
    <w:rsid w:val="00EF0CE9"/>
    <w:rsid w:val="00EF361D"/>
    <w:rsid w:val="00F07B14"/>
    <w:rsid w:val="00F30825"/>
    <w:rsid w:val="00F451D5"/>
    <w:rsid w:val="00F45517"/>
    <w:rsid w:val="00F57D10"/>
    <w:rsid w:val="00F60358"/>
    <w:rsid w:val="00F71719"/>
    <w:rsid w:val="00F71D38"/>
    <w:rsid w:val="00F82E95"/>
    <w:rsid w:val="00F85B3B"/>
    <w:rsid w:val="00FB0642"/>
    <w:rsid w:val="00FC1C0C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1C7B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bdesk.jsa.or.jp/books/W11M0090/index/?bunsyo_id=ISO+24442%3A202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2024-12-20T05:44:00Z</dcterms:created>
  <dcterms:modified xsi:type="dcterms:W3CDTF">2024-12-20T05:45:00Z</dcterms:modified>
</cp:coreProperties>
</file>