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92920" w14:textId="66048572" w:rsidR="005D6AB1" w:rsidRPr="002C7F14" w:rsidRDefault="005D6AB1" w:rsidP="00EF791F">
      <w:pPr>
        <w:spacing w:line="264" w:lineRule="auto"/>
        <w:jc w:val="both"/>
        <w:rPr>
          <w:rFonts w:asciiTheme="minorEastAsia" w:eastAsiaTheme="minorEastAsia" w:hAnsiTheme="minorEastAsia" w:cs="맑은 고딕"/>
          <w:sz w:val="20"/>
          <w:szCs w:val="20"/>
        </w:rPr>
      </w:pPr>
    </w:p>
    <w:p w14:paraId="46C828FE" w14:textId="07D9812D" w:rsidR="004E3AE2" w:rsidRPr="002C7F14" w:rsidRDefault="004E3AE2" w:rsidP="00EF791F">
      <w:pPr>
        <w:spacing w:line="264" w:lineRule="auto"/>
        <w:jc w:val="both"/>
        <w:rPr>
          <w:rFonts w:asciiTheme="minorEastAsia" w:eastAsiaTheme="minorEastAsia" w:hAnsiTheme="minorEastAsia" w:cs="맑은 고딕"/>
          <w:sz w:val="20"/>
          <w:szCs w:val="20"/>
        </w:rPr>
      </w:pPr>
    </w:p>
    <w:p w14:paraId="278F74D6" w14:textId="77777777" w:rsidR="0068751E" w:rsidRPr="002C7F14" w:rsidRDefault="0068751E" w:rsidP="00EF791F">
      <w:pPr>
        <w:spacing w:line="264" w:lineRule="auto"/>
        <w:jc w:val="center"/>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미국 식품의약국</w:t>
      </w:r>
    </w:p>
    <w:p w14:paraId="3834AA27" w14:textId="77777777"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45820CF5" w14:textId="2FF3D4BA" w:rsidR="0068751E" w:rsidRPr="002C7F14" w:rsidRDefault="0068751E" w:rsidP="00EF791F">
      <w:pPr>
        <w:spacing w:line="264" w:lineRule="auto"/>
        <w:jc w:val="center"/>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명령안(OTC000008):</w:t>
      </w:r>
    </w:p>
    <w:p w14:paraId="10BA7B6B" w14:textId="77777777"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2937FD54" w14:textId="5D1D728A" w:rsidR="0068751E" w:rsidRPr="002C7F14" w:rsidRDefault="0068751E" w:rsidP="00EF791F">
      <w:pPr>
        <w:spacing w:line="264" w:lineRule="auto"/>
        <w:jc w:val="center"/>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일반의약품(OTC) 모노그래프 M020:</w:t>
      </w:r>
    </w:p>
    <w:p w14:paraId="63FE4FB0" w14:textId="77777777" w:rsidR="0068751E" w:rsidRPr="002C7F14" w:rsidRDefault="0068751E" w:rsidP="00EF791F">
      <w:pPr>
        <w:spacing w:line="264" w:lineRule="auto"/>
        <w:jc w:val="center"/>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인체용 OTC 자외선 차단 의약품 개정</w:t>
      </w:r>
    </w:p>
    <w:p w14:paraId="2E43FA6A" w14:textId="77777777"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3E3D5A37" w14:textId="00EA886F" w:rsidR="004E3AE2" w:rsidRPr="002C7F14" w:rsidRDefault="0068751E" w:rsidP="00EF791F">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b/>
          <w:sz w:val="20"/>
          <w:szCs w:val="20"/>
          <w:lang w:eastAsia="ko-KR"/>
        </w:rPr>
        <w:t>(2021년 9월 24일 발행</w:t>
      </w:r>
      <w:r w:rsidRPr="002C7F14">
        <w:rPr>
          <w:rFonts w:asciiTheme="minorEastAsia" w:eastAsiaTheme="minorEastAsia" w:hAnsiTheme="minorEastAsia" w:hint="eastAsia"/>
          <w:b/>
          <w:spacing w:val="-2"/>
          <w:sz w:val="20"/>
          <w:szCs w:val="20"/>
          <w:lang w:eastAsia="ko-KR"/>
        </w:rPr>
        <w:t>)</w:t>
      </w:r>
    </w:p>
    <w:p w14:paraId="5F6516EC" w14:textId="442D3C8B" w:rsidR="004E3AE2" w:rsidRPr="002C7F14" w:rsidRDefault="004E3AE2" w:rsidP="00EF791F">
      <w:pPr>
        <w:spacing w:line="264" w:lineRule="auto"/>
        <w:jc w:val="both"/>
        <w:rPr>
          <w:rFonts w:asciiTheme="minorEastAsia" w:eastAsiaTheme="minorEastAsia" w:hAnsiTheme="minorEastAsia" w:cs="맑은 고딕"/>
          <w:sz w:val="20"/>
          <w:szCs w:val="20"/>
        </w:rPr>
      </w:pPr>
    </w:p>
    <w:p w14:paraId="16786E0D" w14:textId="0696EFCF" w:rsidR="004E3AE2" w:rsidRPr="002C7F14" w:rsidRDefault="0068751E" w:rsidP="00A111F6">
      <w:pPr>
        <w:pStyle w:val="a8"/>
        <w:numPr>
          <w:ilvl w:val="0"/>
          <w:numId w:val="2"/>
        </w:numPr>
        <w:spacing w:afterLines="100" w:after="240" w:line="264" w:lineRule="auto"/>
        <w:ind w:leftChars="0" w:left="1701" w:hanging="708"/>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요약</w:t>
      </w:r>
    </w:p>
    <w:p w14:paraId="4C9DE40B" w14:textId="25A487BF" w:rsidR="0068751E" w:rsidRPr="002C7F14" w:rsidRDefault="0068751E" w:rsidP="00EF791F">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코로나바이러스 지원, 구호 및 경제안정법(CARES법), 공법 제116-136호, 법령집 134권 281 페이지(2020년 3월 27일)의 제3854(c)(1)조에 따라, 미국 식품의약국(FDA 또는 본 기관)은 CARES법 제정에 의해 규정된 자외선 차단 의약품에 관한 최종간주행정명령(최종간주명령)을 개정하고 수정하기 위해 이 명령안을 발행하고 있다.</w:t>
      </w:r>
      <w:r w:rsidRPr="002C7F14">
        <w:rPr>
          <w:rStyle w:val="a7"/>
          <w:rFonts w:asciiTheme="minorEastAsia" w:eastAsiaTheme="minorEastAsia" w:hAnsiTheme="minorEastAsia"/>
          <w:sz w:val="20"/>
          <w:lang w:eastAsia="ko-KR"/>
        </w:rPr>
        <w:footnoteReference w:id="1"/>
      </w:r>
      <w:r w:rsidRPr="002C7F14">
        <w:rPr>
          <w:rFonts w:asciiTheme="minorEastAsia" w:eastAsiaTheme="minorEastAsia" w:hAnsiTheme="minorEastAsia" w:hint="eastAsia"/>
          <w:sz w:val="20"/>
          <w:lang w:eastAsia="ko-KR"/>
        </w:rPr>
        <w:t xml:space="preserve"> 이 최종 명령은 일반의약품(OTC) 모노그래프@FDA 포털(</w:t>
      </w:r>
      <w:hyperlink r:id="rId8">
        <w:r w:rsidRPr="002C7F14">
          <w:rPr>
            <w:rFonts w:asciiTheme="minorEastAsia" w:eastAsiaTheme="minorEastAsia" w:hAnsiTheme="minorEastAsia" w:hint="eastAsia"/>
            <w:color w:val="0000FF"/>
            <w:sz w:val="20"/>
            <w:u w:val="single" w:color="0000FF"/>
            <w:lang w:eastAsia="ko-KR"/>
          </w:rPr>
          <w:t>https://www.accessdata.fda.gov/scripts/cder/omuf/index.cfm</w:t>
        </w:r>
      </w:hyperlink>
      <w:r w:rsidRPr="002C7F14">
        <w:rPr>
          <w:rFonts w:asciiTheme="minorEastAsia" w:eastAsiaTheme="minorEastAsia" w:hAnsiTheme="minorEastAsia" w:hint="eastAsia"/>
          <w:sz w:val="20"/>
          <w:lang w:eastAsia="ko-KR"/>
        </w:rPr>
        <w:t>)에서 확인할 수 있으며, 여기에 OTC 모노그래프 M020: 인체용 OTC 자외선 차단 의약품으로 식별되어 있다.</w:t>
      </w:r>
    </w:p>
    <w:p w14:paraId="33F87B4F" w14:textId="77777777" w:rsidR="00EF791F" w:rsidRPr="002C7F14" w:rsidRDefault="00EF791F" w:rsidP="00EF791F">
      <w:pPr>
        <w:spacing w:line="264" w:lineRule="auto"/>
        <w:jc w:val="both"/>
        <w:rPr>
          <w:rFonts w:asciiTheme="minorEastAsia" w:eastAsiaTheme="minorEastAsia" w:hAnsiTheme="minorEastAsia" w:cs="맑은 고딕"/>
          <w:sz w:val="20"/>
          <w:szCs w:val="20"/>
          <w:lang w:eastAsia="ko-KR"/>
        </w:rPr>
      </w:pPr>
    </w:p>
    <w:p w14:paraId="3F834143" w14:textId="7D24DE52" w:rsidR="0068751E" w:rsidRPr="002C7F14" w:rsidRDefault="00794705" w:rsidP="00A111F6">
      <w:pPr>
        <w:pStyle w:val="a8"/>
        <w:numPr>
          <w:ilvl w:val="0"/>
          <w:numId w:val="2"/>
        </w:numPr>
        <w:spacing w:afterLines="100" w:after="240" w:line="264" w:lineRule="auto"/>
        <w:ind w:leftChars="0" w:left="1701" w:hanging="708"/>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법적 권한</w:t>
      </w:r>
    </w:p>
    <w:p w14:paraId="1C5E925A" w14:textId="5E9F6621" w:rsidR="0068751E" w:rsidRPr="002C7F14" w:rsidRDefault="00794705" w:rsidP="00EF791F">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FDA는 연방식품의약품화장품법(FD&amp;C법)(미국법전 제21편 제355h(b)조)의 제505G(b)조 및 CARES법의 제3854(c)(1)조에 따라 이 명령안을 발행하고 있다.</w:t>
      </w:r>
    </w:p>
    <w:p w14:paraId="241DF76D" w14:textId="77777777" w:rsidR="00EF791F" w:rsidRPr="002C7F14" w:rsidRDefault="00EF791F" w:rsidP="00EF791F">
      <w:pPr>
        <w:spacing w:line="264" w:lineRule="auto"/>
        <w:jc w:val="both"/>
        <w:rPr>
          <w:rFonts w:asciiTheme="minorEastAsia" w:eastAsiaTheme="minorEastAsia" w:hAnsiTheme="minorEastAsia" w:cs="맑은 고딕"/>
          <w:sz w:val="20"/>
          <w:szCs w:val="20"/>
          <w:lang w:eastAsia="ko-KR"/>
        </w:rPr>
      </w:pPr>
    </w:p>
    <w:p w14:paraId="5D7F331F" w14:textId="1946CF6F" w:rsidR="0068751E" w:rsidRPr="002C7F14" w:rsidRDefault="00794705" w:rsidP="00A111F6">
      <w:pPr>
        <w:pStyle w:val="a8"/>
        <w:numPr>
          <w:ilvl w:val="0"/>
          <w:numId w:val="2"/>
        </w:numPr>
        <w:spacing w:afterLines="100" w:after="240" w:line="264" w:lineRule="auto"/>
        <w:ind w:leftChars="0" w:left="1701" w:hanging="708"/>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범위</w:t>
      </w:r>
    </w:p>
    <w:p w14:paraId="67366BD7" w14:textId="2CA9D89B" w:rsidR="0068751E" w:rsidRPr="002C7F14" w:rsidRDefault="00794705" w:rsidP="00EF791F">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이 명령안은 FD&amp;C법의 제505G조에 따라 규제되는 OTC 자외선 차단 의약품에 적용한다.</w:t>
      </w:r>
    </w:p>
    <w:p w14:paraId="0AE77B24" w14:textId="77777777" w:rsidR="00EF791F" w:rsidRPr="002C7F14" w:rsidRDefault="00EF791F" w:rsidP="00EF791F">
      <w:pPr>
        <w:spacing w:line="264" w:lineRule="auto"/>
        <w:jc w:val="both"/>
        <w:rPr>
          <w:rFonts w:asciiTheme="minorEastAsia" w:eastAsiaTheme="minorEastAsia" w:hAnsiTheme="minorEastAsia" w:cs="맑은 고딕"/>
          <w:sz w:val="20"/>
          <w:szCs w:val="20"/>
          <w:lang w:eastAsia="ko-KR"/>
        </w:rPr>
      </w:pPr>
    </w:p>
    <w:p w14:paraId="3A221F4E" w14:textId="2BB28F25" w:rsidR="0068751E" w:rsidRPr="002C7F14" w:rsidRDefault="00794705" w:rsidP="00A111F6">
      <w:pPr>
        <w:pStyle w:val="a8"/>
        <w:numPr>
          <w:ilvl w:val="0"/>
          <w:numId w:val="2"/>
        </w:numPr>
        <w:spacing w:afterLines="100" w:after="240" w:line="264" w:lineRule="auto"/>
        <w:ind w:leftChars="0" w:left="1701" w:hanging="708"/>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배경</w:t>
      </w:r>
    </w:p>
    <w:p w14:paraId="5C3D1959" w14:textId="71BEFA93" w:rsidR="0068751E" w:rsidRPr="002C7F14" w:rsidRDefault="00794705" w:rsidP="00350E0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lang w:eastAsia="ko-KR"/>
        </w:rPr>
        <w:t>OTC 자외선 차단 의약품은 일광화상을 예방하는 데 도움이 되는 국소 적용 제품이다. 일부 제품은 태양의 자외선(UV) 방사선에 노출되어 발생하는 피부암 및 조기 피부 노화 위험을 줄이는 데도 사용된다(다른 햇빛 차단 조치와 함께 지시된 대로 사용되는 경우)(최종간주명령의 § M020.50 참조). 자외선차단제의 활성성분은 UV 범위의 방사선을 흡수, 반사 및/또는 산란시켜 차단 효과를 달성한다.</w:t>
      </w:r>
    </w:p>
    <w:p w14:paraId="59BFE575" w14:textId="77777777" w:rsidR="00794705" w:rsidRPr="002C7F14" w:rsidRDefault="00794705" w:rsidP="00EF791F">
      <w:pPr>
        <w:spacing w:line="264" w:lineRule="auto"/>
        <w:jc w:val="both"/>
        <w:rPr>
          <w:rFonts w:asciiTheme="minorEastAsia" w:eastAsiaTheme="minorEastAsia" w:hAnsiTheme="minorEastAsia" w:cs="맑은 고딕"/>
          <w:sz w:val="20"/>
          <w:szCs w:val="20"/>
          <w:lang w:eastAsia="ko-KR"/>
        </w:rPr>
        <w:sectPr w:rsidR="00794705" w:rsidRPr="002C7F14" w:rsidSect="00794705">
          <w:headerReference w:type="default" r:id="rId9"/>
          <w:pgSz w:w="11906" w:h="16838"/>
          <w:pgMar w:top="1440" w:right="1080" w:bottom="1440" w:left="1080" w:header="567" w:footer="567" w:gutter="0"/>
          <w:pgNumType w:start="1"/>
          <w:cols w:space="425"/>
          <w:docGrid w:linePitch="360"/>
        </w:sectPr>
      </w:pPr>
    </w:p>
    <w:p w14:paraId="5FD323EB" w14:textId="3CA8992B" w:rsidR="00EF791F" w:rsidRPr="002C7F14" w:rsidRDefault="00EF791F" w:rsidP="00EF79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lastRenderedPageBreak/>
        <w:t>2019년 2월, FDA는 "인체용 일반의약품 자외선 차단 의약품"라는 제목의 규칙안(2019년 규칙안)을 발행했다.</w:t>
      </w:r>
      <w:r w:rsidRPr="002C7F14">
        <w:rPr>
          <w:rStyle w:val="a7"/>
          <w:rFonts w:asciiTheme="minorEastAsia" w:eastAsiaTheme="minorEastAsia" w:hAnsiTheme="minorEastAsia"/>
          <w:sz w:val="20"/>
          <w:szCs w:val="20"/>
          <w:lang w:eastAsia="ko-KR"/>
        </w:rPr>
        <w:footnoteReference w:id="2"/>
      </w:r>
      <w:r w:rsidRPr="002C7F14">
        <w:rPr>
          <w:rFonts w:asciiTheme="minorEastAsia" w:eastAsiaTheme="minorEastAsia" w:hAnsiTheme="minorEastAsia" w:hint="eastAsia"/>
          <w:sz w:val="20"/>
          <w:szCs w:val="20"/>
          <w:lang w:eastAsia="ko-KR"/>
        </w:rPr>
        <w:t xml:space="preserve"> 2019년 규칙안은 CFR 제21편 제352부(1999년 발생되었지만 발효 전 무기한 보류됨)에 성문화된 자외선차단제 모노그래프 규정을 개정하고, 자외선차단제에 대한 최종 모노그래프를 발효할 것을 </w:t>
      </w:r>
      <w:r w:rsidRPr="002C7F14">
        <w:rPr>
          <w:rFonts w:asciiTheme="minorEastAsia" w:eastAsiaTheme="minorEastAsia" w:hAnsiTheme="minorEastAsia" w:hint="eastAsia"/>
          <w:sz w:val="20"/>
          <w:lang w:eastAsia="ko-KR"/>
        </w:rPr>
        <w:t>제안했다</w:t>
      </w:r>
      <w:r w:rsidRPr="002C7F14">
        <w:rPr>
          <w:rFonts w:asciiTheme="minorEastAsia" w:eastAsiaTheme="minorEastAsia" w:hAnsiTheme="minorEastAsia" w:hint="eastAsia"/>
          <w:sz w:val="20"/>
          <w:szCs w:val="20"/>
          <w:lang w:eastAsia="ko-KR"/>
        </w:rPr>
        <w:t>.</w:t>
      </w:r>
      <w:r w:rsidRPr="002C7F14">
        <w:rPr>
          <w:rStyle w:val="a7"/>
          <w:rFonts w:asciiTheme="minorEastAsia" w:eastAsiaTheme="minorEastAsia" w:hAnsiTheme="minorEastAsia"/>
          <w:sz w:val="20"/>
          <w:szCs w:val="20"/>
          <w:lang w:eastAsia="ko-KR"/>
        </w:rPr>
        <w:footnoteReference w:id="3"/>
      </w:r>
      <w:r w:rsidRPr="002C7F14">
        <w:rPr>
          <w:rFonts w:asciiTheme="minorEastAsia" w:eastAsiaTheme="minorEastAsia" w:hAnsiTheme="minorEastAsia" w:hint="eastAsia"/>
          <w:sz w:val="20"/>
          <w:szCs w:val="20"/>
          <w:lang w:eastAsia="ko-KR"/>
        </w:rPr>
        <w:t xml:space="preserve"> (자외선차단제 모노그래프 규정 및 관련 규칙에 대한 자세한 이력은 2019년 규칙안 연방관보 82권 6209-6210 페이지를 참조한다.) 2019년 규칙안은 자외선차단제 활성성분</w:t>
      </w:r>
      <w:r w:rsidRPr="002C7F14">
        <w:rPr>
          <w:rStyle w:val="a7"/>
          <w:rFonts w:asciiTheme="minorEastAsia" w:eastAsiaTheme="minorEastAsia" w:hAnsiTheme="minorEastAsia"/>
          <w:sz w:val="20"/>
          <w:szCs w:val="20"/>
          <w:lang w:eastAsia="ko-KR"/>
        </w:rPr>
        <w:footnoteReference w:id="4"/>
      </w:r>
      <w:r w:rsidRPr="002C7F14">
        <w:rPr>
          <w:rFonts w:asciiTheme="minorEastAsia" w:eastAsiaTheme="minorEastAsia" w:hAnsiTheme="minorEastAsia" w:hint="eastAsia"/>
          <w:sz w:val="20"/>
          <w:szCs w:val="20"/>
          <w:lang w:eastAsia="ko-KR"/>
        </w:rPr>
        <w:t>, 최대 자외선차단지수(SPF) 수준, 광범위 스펙트럼 요구사항, 투여 형태, 라벨링, 최종 제형 시험 및 기록 보관, 자외선차단제-방충제 조합 등과 관련된 제안을 포함했다.</w:t>
      </w:r>
    </w:p>
    <w:p w14:paraId="08CD9080" w14:textId="063927FE"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2B2C8500" w14:textId="77777777" w:rsidR="00EF791F" w:rsidRPr="002C7F14" w:rsidRDefault="00EF791F" w:rsidP="00EF79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2019년 규칙안은 특정 자외선차단제 활성성분을 함유한 자외선차단제의 일반적으로 안전하고 효과적인 것으로 인정된(GRASE) 지위를 뒷받침하는 안전 데이터가 필요하다고 확인했고, FDA는 이러한 데이터 개발이 규칙안에 대한 의견수렴기간보다 상당히 더 오래 걸릴 수 있다고 예상했기 때문에, FDA는 데이터가 개발되는 동안 이러한 성분에 대한 추가 규칙제정을 연기해 달라는 요청을 고려할 것을 제안했다(연방관보 82권 6249 페이지의 2019년 규칙안 참조). 2019년 규칙안에 대한 의견수렴기간이 종료된 시점에 FDA는 상당수의 의견뿐만 아니라 GRASE 지위를 뒷받침하는 데이터가 개발되는 동안 활성물질 아보벤존, 호모살레이트, 옥티녹세이트, 옥티살레이트, 옥토크릴렌, 옥시벤존, 엔술리졸 및 메라디메이트에 대한 추가 규칙제정을 연기해 달라는 요청도 접수했다.</w:t>
      </w:r>
    </w:p>
    <w:p w14:paraId="4DB51790" w14:textId="3755BDEA"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6F63823C" w14:textId="04957993" w:rsidR="00EF791F" w:rsidRPr="002C7F14" w:rsidRDefault="00EF791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E0B912E" w14:textId="7BBB3DA8" w:rsidR="00EF791F" w:rsidRPr="002C7F14" w:rsidRDefault="00EF791F" w:rsidP="00EF79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lastRenderedPageBreak/>
        <w:t>OTC 자외선차단제 모노그래프를 개정하는 절차는 CARES법에 의해 추가된 2020년 3월 27일자 FD&amp;C법 제505G조 제정을 통해 변경되었다. 무엇보다도 CARES법은 자외선차단제 규칙안이 발행된 근거인 규칙제정 절차를 행정명령 절차로 대체했다. 또한 제505G조는 CARES법 제정일 기준으로 특정 요구사항을 충족하는 자외선차단제는 신약이 아닌 GRASE로 간주한다고 규정했다.</w:t>
      </w:r>
      <w:hyperlink w:anchor="_bookmark4" w:history="1">
        <w:r w:rsidRPr="002C7F14">
          <w:rPr>
            <w:rFonts w:asciiTheme="minorEastAsia" w:eastAsiaTheme="minorEastAsia" w:hAnsiTheme="minorEastAsia" w:hint="eastAsia"/>
            <w:sz w:val="20"/>
            <w:szCs w:val="20"/>
            <w:vertAlign w:val="superscript"/>
            <w:lang w:eastAsia="ko-KR"/>
          </w:rPr>
          <w:t>5</w:t>
        </w:r>
      </w:hyperlink>
      <w:r w:rsidRPr="002C7F14">
        <w:rPr>
          <w:rStyle w:val="a7"/>
          <w:rFonts w:asciiTheme="minorEastAsia" w:eastAsiaTheme="minorEastAsia" w:hAnsiTheme="minorEastAsia"/>
          <w:sz w:val="20"/>
          <w:szCs w:val="20"/>
          <w:lang w:eastAsia="ko-KR"/>
        </w:rPr>
        <w:footnoteReference w:id="5"/>
      </w:r>
      <w:r w:rsidRPr="002C7F14">
        <w:rPr>
          <w:rFonts w:asciiTheme="minorEastAsia" w:eastAsiaTheme="minorEastAsia" w:hAnsiTheme="minorEastAsia" w:hint="eastAsia"/>
          <w:sz w:val="20"/>
          <w:szCs w:val="20"/>
          <w:lang w:eastAsia="ko-KR"/>
        </w:rPr>
        <w:t xml:space="preserve"> CARES법은 "1999년 5월 21일 고시된 [연방규정 제21편 제352조]에 명시된 요구사항</w:t>
      </w:r>
      <w:r w:rsidRPr="002C7F14">
        <w:rPr>
          <w:rStyle w:val="a7"/>
          <w:rFonts w:asciiTheme="minorEastAsia" w:eastAsiaTheme="minorEastAsia" w:hAnsiTheme="minorEastAsia"/>
          <w:sz w:val="20"/>
          <w:szCs w:val="20"/>
          <w:lang w:eastAsia="ko-KR"/>
        </w:rPr>
        <w:footnoteReference w:id="6"/>
      </w:r>
      <w:r w:rsidRPr="002C7F14">
        <w:rPr>
          <w:rFonts w:asciiTheme="minorEastAsia" w:eastAsiaTheme="minorEastAsia" w:hAnsiTheme="minorEastAsia" w:hint="eastAsia"/>
          <w:sz w:val="20"/>
          <w:szCs w:val="20"/>
          <w:lang w:eastAsia="ko-KR"/>
        </w:rPr>
        <w:t>"으로 구성된 자외선차단제에 대한 "최종 행정명령" (최종간주 명령)을 제정했다. 단, "효과 및 라벨링에 적용되는 관련 요구사항은 [연방규정 제21편 제201.327조]에 명시된 요구사항[]"이며, 이 법령은 이를 이러한 자외선차단제에 대한 "최종 모노그래프 준수 측면에서 적용 가능한 요구사항"으로 규정했다.</w:t>
      </w:r>
      <w:r w:rsidRPr="002C7F14">
        <w:rPr>
          <w:rStyle w:val="a7"/>
          <w:rFonts w:asciiTheme="minorEastAsia" w:eastAsiaTheme="minorEastAsia" w:hAnsiTheme="minorEastAsia"/>
          <w:sz w:val="20"/>
          <w:szCs w:val="20"/>
          <w:lang w:eastAsia="ko-KR"/>
        </w:rPr>
        <w:footnoteReference w:id="7"/>
      </w:r>
      <w:r w:rsidRPr="002C7F14">
        <w:rPr>
          <w:rFonts w:asciiTheme="minorEastAsia" w:eastAsiaTheme="minorEastAsia" w:hAnsiTheme="minorEastAsia" w:hint="eastAsia"/>
          <w:sz w:val="20"/>
          <w:szCs w:val="20"/>
          <w:lang w:eastAsia="ko-KR"/>
        </w:rPr>
        <w:t xml:space="preserve"> CARES법은 FDA가 자외선차단제에 대한 이 최종간주명령을 개정하고 수정하도록 지시하며, 이 자외선차단제 명령의 개정안 버전은 CARES법 제정 후 18개월 내에(즉, 2021년 9월 27일까지) 발행되어야 한다고 요구한다.</w:t>
      </w:r>
      <w:r w:rsidRPr="002C7F14">
        <w:rPr>
          <w:rStyle w:val="a7"/>
          <w:rFonts w:asciiTheme="minorEastAsia" w:eastAsiaTheme="minorEastAsia" w:hAnsiTheme="minorEastAsia"/>
          <w:sz w:val="20"/>
          <w:szCs w:val="20"/>
          <w:lang w:eastAsia="ko-KR"/>
        </w:rPr>
        <w:footnoteReference w:id="8"/>
      </w:r>
      <w:r w:rsidRPr="002C7F14">
        <w:rPr>
          <w:rFonts w:asciiTheme="minorEastAsia" w:eastAsiaTheme="minorEastAsia" w:hAnsiTheme="minorEastAsia" w:hint="eastAsia"/>
          <w:sz w:val="20"/>
          <w:szCs w:val="20"/>
          <w:lang w:eastAsia="ko-KR"/>
        </w:rPr>
        <w:t xml:space="preserve"> 이 명령은 전술한 요구사항에 따라 발행되고 있다.</w:t>
      </w:r>
    </w:p>
    <w:p w14:paraId="7565B139" w14:textId="77777777"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3769EFF9" w14:textId="77777777" w:rsidR="00EF791F" w:rsidRPr="002C7F14" w:rsidRDefault="00EF791F" w:rsidP="00EF79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최종간주명령에 명시된 조건에 의해 자외선 차단 의약품이 FD&amp;C법 제201(p)(1)조(미국법전 제21편 제321(p)(1)조)에 따라 GRASE임이 보장되지 않는다고 제안한다. 제안된 이 명령이 최종 확정되면 최종간주명령 전체를 비처방 자외선 차단 의약품이 FD&amp;C법 제201(p)(1)조에 따라 GRASE로 간주될 수 있는 새로운 조건으로 대체한다. 또한 자외선 차단 의약품이 제201(p)(1)조에 따라 GRASE가 아님을 확인할 수 있는 특정 특성도 규정한다.</w:t>
      </w:r>
    </w:p>
    <w:p w14:paraId="206EA306" w14:textId="4F70E70F"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395D0809" w14:textId="4A485BB2" w:rsidR="00EF791F" w:rsidRPr="002C7F14" w:rsidRDefault="00EF791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1794EA64" w14:textId="47670E91" w:rsidR="00EF791F" w:rsidRPr="002C7F14" w:rsidRDefault="00EF791F" w:rsidP="00EF79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명령안에서 FDA는 FD&amp;C법 제505G조 제정을 반영하기 위한 변경사항을 비롯한 경미한 변경사항과 함께 2019년 규칙안에서 설명한 것과 실질적으로 동일한 요구사항을 발표하고 있다.</w:t>
      </w:r>
      <w:r w:rsidR="003B279D" w:rsidRPr="002C7F14">
        <w:rPr>
          <w:rStyle w:val="a7"/>
          <w:rFonts w:asciiTheme="minorEastAsia" w:eastAsiaTheme="minorEastAsia" w:hAnsiTheme="minorEastAsia"/>
          <w:sz w:val="20"/>
          <w:szCs w:val="20"/>
          <w:lang w:eastAsia="ko-KR"/>
        </w:rPr>
        <w:footnoteReference w:id="9"/>
      </w:r>
      <w:r w:rsidRPr="002C7F14">
        <w:rPr>
          <w:rFonts w:asciiTheme="minorEastAsia" w:eastAsiaTheme="minorEastAsia" w:hAnsiTheme="minorEastAsia" w:hint="eastAsia"/>
          <w:sz w:val="20"/>
          <w:szCs w:val="20"/>
          <w:lang w:eastAsia="ko-KR"/>
        </w:rPr>
        <w:t xml:space="preserve"> 마찬가지로 자외선차단제에 대한 본 기관의 과학적 논의는 일반적으로 2019년 규칙안의 논의와 동일하다.</w:t>
      </w:r>
      <w:r w:rsidR="003B279D" w:rsidRPr="002C7F14">
        <w:rPr>
          <w:rStyle w:val="a7"/>
          <w:rFonts w:asciiTheme="minorEastAsia" w:eastAsiaTheme="minorEastAsia" w:hAnsiTheme="minorEastAsia"/>
          <w:sz w:val="20"/>
          <w:szCs w:val="20"/>
          <w:lang w:eastAsia="ko-KR"/>
        </w:rPr>
        <w:footnoteReference w:id="10"/>
      </w:r>
      <w:r w:rsidRPr="002C7F14">
        <w:rPr>
          <w:rFonts w:asciiTheme="minorEastAsia" w:eastAsiaTheme="minorEastAsia" w:hAnsiTheme="minorEastAsia" w:hint="eastAsia"/>
          <w:sz w:val="20"/>
          <w:szCs w:val="20"/>
          <w:lang w:eastAsia="ko-KR"/>
        </w:rPr>
        <w:t xml:space="preserve"> FDA는 승인된 신청 없이 시판된 OTC 자외선차단제에 대한 적절한 요구사항에 대해 진행 중인 검토를 기존 규칙제정 절차에서 FD&amp;C법의 새로운 제505G조에 의해 수립된 명령 절차로 효율적으로 전환하기 위한 수단으로 이 명령안을 사용하고 있다.</w:t>
      </w:r>
    </w:p>
    <w:p w14:paraId="54F291E8" w14:textId="77777777"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430330CF" w14:textId="7424B947" w:rsidR="00EF791F" w:rsidRPr="002C7F14" w:rsidRDefault="00EF791F" w:rsidP="00EF79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2019년 규정안은 발행 당시 자외선차단제 관련 공개 데이터에 대한 철저한 기관 분석을 제시했다. 이 분석을 뒷받침하는 안전성 및 효과에 대한 일반적인 인정을 위한 법적 및 과학적 기준은 CARES법에 의해 변경되지 않았다.</w:t>
      </w:r>
      <w:r w:rsidR="003B279D" w:rsidRPr="002C7F14">
        <w:rPr>
          <w:rStyle w:val="a7"/>
          <w:rFonts w:asciiTheme="minorEastAsia" w:eastAsiaTheme="minorEastAsia" w:hAnsiTheme="minorEastAsia"/>
          <w:sz w:val="20"/>
          <w:szCs w:val="20"/>
          <w:lang w:eastAsia="ko-KR"/>
        </w:rPr>
        <w:footnoteReference w:id="11"/>
      </w:r>
      <w:r w:rsidRPr="002C7F14">
        <w:rPr>
          <w:rFonts w:asciiTheme="minorEastAsia" w:eastAsiaTheme="minorEastAsia" w:hAnsiTheme="minorEastAsia" w:hint="eastAsia"/>
          <w:sz w:val="20"/>
          <w:szCs w:val="20"/>
          <w:lang w:eastAsia="ko-KR"/>
        </w:rPr>
        <w:t xml:space="preserve"> 규칙안이 발행된 이후 무엇보다 자외선차단제 활성물질의 흡수에 대한 두 가지 새로운 연구</w:t>
      </w:r>
      <w:r w:rsidR="003B279D" w:rsidRPr="002C7F14">
        <w:rPr>
          <w:rStyle w:val="a7"/>
          <w:rFonts w:asciiTheme="minorEastAsia" w:eastAsiaTheme="minorEastAsia" w:hAnsiTheme="minorEastAsia"/>
          <w:sz w:val="20"/>
          <w:szCs w:val="20"/>
          <w:lang w:eastAsia="ko-KR"/>
        </w:rPr>
        <w:footnoteReference w:id="12"/>
      </w:r>
      <w:r w:rsidRPr="002C7F14">
        <w:rPr>
          <w:rFonts w:asciiTheme="minorEastAsia" w:eastAsiaTheme="minorEastAsia" w:hAnsiTheme="minorEastAsia" w:hint="eastAsia"/>
          <w:sz w:val="20"/>
          <w:szCs w:val="20"/>
          <w:lang w:eastAsia="ko-KR"/>
        </w:rPr>
        <w:t>가 발표된 것을 비롯하여 과학적 발전이 이루어졌음을 알고 있다. 전술한 두 연구 모두 본 기관의 규칙안(및 아래)에서 요구하는 자외선차단제 성분 데이터의 필요성을 강화했다. 이 명령안에 대한 의견수렴기간은 2019년 규칙안에 대한 의견수렴기간이 종료된 이후 대중이 정보를 제출할 수 있는 기회를 제공한다.</w:t>
      </w:r>
      <w:r w:rsidR="003B279D" w:rsidRPr="002C7F14">
        <w:rPr>
          <w:rStyle w:val="a7"/>
          <w:rFonts w:asciiTheme="minorEastAsia" w:eastAsiaTheme="minorEastAsia" w:hAnsiTheme="minorEastAsia"/>
          <w:sz w:val="20"/>
          <w:szCs w:val="20"/>
          <w:lang w:eastAsia="ko-KR"/>
        </w:rPr>
        <w:footnoteReference w:id="13"/>
      </w:r>
      <w:r w:rsidR="003B279D" w:rsidRPr="002C7F14">
        <w:rPr>
          <w:rFonts w:asciiTheme="minorEastAsia" w:eastAsiaTheme="minorEastAsia" w:hAnsiTheme="minorEastAsia"/>
          <w:sz w:val="20"/>
          <w:szCs w:val="20"/>
          <w:lang w:eastAsia="ko-KR"/>
        </w:rPr>
        <w:t xml:space="preserve"> </w:t>
      </w:r>
    </w:p>
    <w:p w14:paraId="3AFE3B82" w14:textId="7DE34AF9" w:rsidR="003B279D" w:rsidRPr="002C7F14" w:rsidRDefault="003B279D"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0AC70D33" w14:textId="7EE4AC6B" w:rsidR="0068751E" w:rsidRPr="002C7F14" w:rsidRDefault="003B279D" w:rsidP="00350E0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위에서 언급한 바와 같이, 본 기관은 2019년 규칙안에 설명된 제안에 대한 이전 의견수렴기간 동안 공개 문서철에서 상당수의 의견을 접수했으며, 이를 계속 검토하고 있다. 본 기관은 의견수렴기간 내에 2019년 규칙안에 대한 공개 문서철에 제출된 모든 의견을 실질적으로 이 명령안에 대해 제출된 의견으로 간주할 것이다. 본 기관이 이러한 의견(및 이 명령안에 대해 제출될 수 있는 향후 의견)을 가능한 한 신속하게 검토하고 처리할 수 있도록 의견 제출자가 이전에 규칙안에 대해 제출했던 의견을 다시 제출하지 말 것을 요청한다. FDA는 승인된 신약 신청(NDA) 없이 시판되는 비처방 자외선차단제에 대한 적절한 규제 요구사항을 평가할 때 이 접근방식을 통해 대중의 의견을 효율적으로 고려할 수 있을 것으로 판단한다.</w:t>
      </w:r>
    </w:p>
    <w:p w14:paraId="4BA8A590" w14:textId="1FE456D6"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15E41B33" w14:textId="53D6A700" w:rsidR="0068751E" w:rsidRPr="002C7F14" w:rsidRDefault="003B279D" w:rsidP="00350E0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아래에 자세히 설명된 바와 같이, 이 명령안은 1999년 최종 모노그래프(연방관보 66권 27666 페이지, 1999년 5월 21일)에 포함되었지만 추가 데이터가 필요하다고 제안된 자외선차단제 활성물질이 자외선차단제에 사용하기에 안전하지 않다는 FDA의 결론을 나타내는 것이 아님을 강조한다. 오히려 자외선차단제 사용 및 노출이 크게 증가했고 원래 평가된 이후 이러한 제품과 관련된 잠재적 위험에 대한 정보가 발전되었다는 것을 비롯한 변화된 조건에 비추어 GRASE 지위를 평가할 수 있도록 이러한 성분에 대한 추가 정보를 요청하고 있다. 2019년 규칙안이 그랬던 것처럼, 오늘의 명령은 광범위 스펙트럼 차단, 최대 SPF 요구사항, 투여 형태, 라벨링 등 승인된 신청 없이 시판된 자외선 차단 의약품의 다른 사용 조건을 다루는 제안도 발전시킨다.</w:t>
      </w:r>
    </w:p>
    <w:p w14:paraId="3307C8DB" w14:textId="4CB14CA7" w:rsidR="0068751E" w:rsidRPr="002C7F14" w:rsidRDefault="0068751E" w:rsidP="00EF791F">
      <w:pPr>
        <w:spacing w:line="264" w:lineRule="auto"/>
        <w:jc w:val="both"/>
        <w:rPr>
          <w:rFonts w:asciiTheme="minorEastAsia" w:eastAsiaTheme="minorEastAsia" w:hAnsiTheme="minorEastAsia" w:cs="맑은 고딕"/>
          <w:sz w:val="20"/>
          <w:szCs w:val="20"/>
          <w:lang w:eastAsia="ko-KR"/>
        </w:rPr>
      </w:pPr>
    </w:p>
    <w:p w14:paraId="48D68D5E" w14:textId="798B8591" w:rsidR="0068751E" w:rsidRPr="002C7F14" w:rsidRDefault="00350E00" w:rsidP="00A111F6">
      <w:pPr>
        <w:pStyle w:val="a8"/>
        <w:numPr>
          <w:ilvl w:val="0"/>
          <w:numId w:val="2"/>
        </w:numPr>
        <w:spacing w:afterLines="100" w:after="240" w:line="264" w:lineRule="auto"/>
        <w:ind w:leftChars="0" w:left="1701" w:hanging="708"/>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이 명령안의 주요 조항 요약</w:t>
      </w:r>
    </w:p>
    <w:p w14:paraId="389ED065" w14:textId="3F6B9168" w:rsidR="004E3AE2" w:rsidRPr="002C7F14" w:rsidRDefault="00350E00"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1999년 최종 모노그래프에 열거된 활성성분에 대해 제안된 GRASE 지위</w:t>
      </w:r>
    </w:p>
    <w:p w14:paraId="6635675F" w14:textId="416296A1" w:rsidR="004E3AE2" w:rsidRPr="002C7F14" w:rsidRDefault="00350E00" w:rsidP="00A111F6">
      <w:pPr>
        <w:pStyle w:val="a8"/>
        <w:numPr>
          <w:ilvl w:val="0"/>
          <w:numId w:val="4"/>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안전성 데이터 평가 프레임워크</w:t>
      </w:r>
    </w:p>
    <w:p w14:paraId="5103DF5B" w14:textId="0ECBA37E" w:rsidR="004E3AE2" w:rsidRPr="002C7F14" w:rsidRDefault="00350E00" w:rsidP="00350E0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아래에 자세히 설명된 바와 같이, 1999년 최종 모노그래프 발행 이후 변화된 상황은 이제 1999년 최종 모노그래프에 열거된 특정 활성성분이 연방규정 제21편 제330.10(a)(4)조에 명시된 기준에 따라 자외선차단제에 사용하기에 GRASE임을 입증하기 위해 추가 안전 데이터가 필요함을 의미한다.</w:t>
      </w:r>
      <w:r w:rsidRPr="002C7F14">
        <w:rPr>
          <w:rStyle w:val="a7"/>
          <w:rFonts w:asciiTheme="minorEastAsia" w:eastAsiaTheme="minorEastAsia" w:hAnsiTheme="minorEastAsia"/>
          <w:sz w:val="20"/>
          <w:szCs w:val="20"/>
          <w:lang w:eastAsia="ko-KR"/>
        </w:rPr>
        <w:footnoteReference w:id="14"/>
      </w:r>
      <w:r w:rsidRPr="002C7F14">
        <w:rPr>
          <w:rFonts w:asciiTheme="minorEastAsia" w:eastAsiaTheme="minorEastAsia" w:hAnsiTheme="minorEastAsia" w:hint="eastAsia"/>
          <w:sz w:val="20"/>
          <w:szCs w:val="20"/>
          <w:lang w:eastAsia="ko-KR"/>
        </w:rPr>
        <w:t xml:space="preserve"> OTC 자외선차단제 활성성분의 임상적 안전성 평가에 대한 FDA의 접근방식은 만성 사용을 위한 국소 의약품의 안전성 평가에 대한 현재의 과학적 이해를 바탕으로 하며, 일반적으로 만성 사용 국소 의약품(예: 국소 안전성 연구(자극, 감작 및 광안전성), 생체이용률(흡수) 및 임상 연구에서 관찰된 부작용 평가)에 대한 신약 신청(NDA) 승인을 위한 요구사항을 충족하는 데 필요한 안전성 데이터에 부합한다. 시판 후 안전성 정보도 본 기관의 안전성 평가와 관련이 있다.</w:t>
      </w:r>
    </w:p>
    <w:p w14:paraId="39C3F929" w14:textId="7618C101"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8699681" w14:textId="77777777" w:rsidR="00350E00" w:rsidRPr="002C7F14" w:rsidRDefault="00350E00" w:rsidP="00350E0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활성성분의 비임상적 안전성 평가에 대한 현재 접근방식은 미국에서의 긴 시판 역사를 고려한다. 만성 사용 국소 NDA 제품의 승인 기준을 충족하는 데 필요한 비임상 데이터(포괄적 비임상 약리 및 독성 안전성 시험 포함)와 달리, 이 명령안에 반영된 비임상 안전성 시험에 대한 접근방식은 대체로 잠재적인 장기 부작용 또는 인체 사용에서 쉽게 감지되지 않는 영향(즉, 발암성 및 생식 독성)에 초점을 맞춘다.</w:t>
      </w:r>
    </w:p>
    <w:p w14:paraId="2EB12AEA" w14:textId="77777777" w:rsidR="004E3AE2" w:rsidRPr="002C7F14" w:rsidRDefault="004E3AE2" w:rsidP="00EF791F">
      <w:pPr>
        <w:spacing w:line="264" w:lineRule="auto"/>
        <w:jc w:val="both"/>
        <w:rPr>
          <w:rFonts w:asciiTheme="minorEastAsia" w:eastAsiaTheme="minorEastAsia" w:hAnsiTheme="minorEastAsia" w:cs="맑은 고딕"/>
          <w:sz w:val="20"/>
          <w:szCs w:val="20"/>
          <w:lang w:eastAsia="ko-KR"/>
        </w:rPr>
      </w:pPr>
    </w:p>
    <w:p w14:paraId="33056DAA" w14:textId="77777777" w:rsidR="00350E00" w:rsidRPr="002C7F14" w:rsidRDefault="00350E00" w:rsidP="00A111F6">
      <w:pPr>
        <w:pStyle w:val="a8"/>
        <w:numPr>
          <w:ilvl w:val="0"/>
          <w:numId w:val="4"/>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1999년 최종 모노그래프에 열거된 성분에 대한 기존 안전성 데이터</w:t>
      </w:r>
    </w:p>
    <w:p w14:paraId="433DE543" w14:textId="77777777" w:rsidR="00350E00" w:rsidRPr="002C7F14" w:rsidRDefault="00350E00" w:rsidP="00350E0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섹션 VI.C에서 1999년 최종 모노그래프에 열거된 성분에 대한 과학 문헌 검토, 자외선차단제 모노그래프 문서철 제출물, FDA의 부작용 보고 시스템(FAERS)에 제출된 이상사례 보고서에 대해 논의하고, 기존의 공백을 파악한다. 이 증거 검토는 이러한 성분을 (최대 25% 농도로) 함유한 자외선차단제가 GRASE일 것이라는 제안을 뒷받침하기 위해 산화아연과 이산화티타늄에 대한 충분한 안전 데이터를 생성했다. 그러나 아미노벤조산(PABA)과 트롤아민 살리실레이트에 대한 사용 가능한 안전성 데이터를 평가한 결과, 자외선차단제에 이러한 활성성분을 사용하는 것과 관련된 위험이 이점보다 크다는 결론을 내렸다. 트롤아민 살리실레이트의 경우, 이러한 위험에는 살리실산의 항응고 효과로 인한 심각한 건강 악영향(출혈 포함)의 가능성과 이 성분이 자외선차단제에 사용될 때 살리실레이트 독성의 위험 증가가 포함된다. PABA의 경우, 위험에는 알레르기 및 광알레르기 피부 반응의 상당한 비율과 구조적으로 유사한 화합물과의 교차 감작이 포함된다. 따라서 이 두 가지 성분이 함유된 자외선차단제가 안전 문제를 입증하는 데이터로 인해 GRASE가 아니라고 제안한다.</w:t>
      </w:r>
    </w:p>
    <w:p w14:paraId="47501F8C" w14:textId="67D70D35"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33F8E3A2" w14:textId="24C022CF" w:rsidR="00350E00" w:rsidRPr="002C7F14" w:rsidRDefault="00350E00" w:rsidP="00350E0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현재 공개 기록은 시녹세이트, 디옥시벤존, 엔술리졸, 호모살레이트, 메라디메이트, 옥티녹세이트, 옥티살레이트, 옥토크릴렌, 파디메이트 O, 술리소벤존, 옥시벤존 또는 아보벤존에 대한 GRASE 긍정 판정을 뒷받침할 충분한 데이터가 없기 때문에, 데이터 불충분으로 인해 이러한 성분이 GRASE가 아니라고 제안한다.</w:t>
      </w:r>
      <w:r w:rsidR="00151D49" w:rsidRPr="002C7F14">
        <w:rPr>
          <w:rStyle w:val="a7"/>
          <w:rFonts w:asciiTheme="minorEastAsia" w:eastAsiaTheme="minorEastAsia" w:hAnsiTheme="minorEastAsia"/>
          <w:sz w:val="20"/>
          <w:szCs w:val="20"/>
          <w:lang w:eastAsia="ko-KR"/>
        </w:rPr>
        <w:footnoteReference w:id="15"/>
      </w:r>
      <w:r w:rsidRPr="002C7F14">
        <w:rPr>
          <w:rFonts w:asciiTheme="minorEastAsia" w:eastAsiaTheme="minorEastAsia" w:hAnsiTheme="minorEastAsia" w:hint="eastAsia"/>
          <w:sz w:val="20"/>
          <w:szCs w:val="20"/>
          <w:lang w:eastAsia="ko-KR"/>
        </w:rPr>
        <w:t xml:space="preserve"> 예를 들어, 사용 가능한 문헌에는 옥시벤존이 이전에 이해되었던 것보다 더 많이 피부를 통해 흡수되어 상당한 전신 노출로 이어질 수 있다는 연구와 인간의 모유, 양수, 소변 및 혈장에 옥시벤존이 존재한다는 것을 보여주는 데이터가 포함된다. 옥시벤존의 상당한 전신 가용성 및 흡수 가능성의 전체 범위를 평가하는 데이터 부족은 무엇보다 옥시벤존의 전신 노출과 관련된 내분비 활동의 가능성에 대해 출판된 문헌에서 제기된 문제로 인해 우려되는 부분이다. 이러한 자외선차단제 활성성분의 거의 대부분은 흡수를 특성화하는 데이터가 충분하지 않거나 전혀 없다.</w:t>
      </w:r>
    </w:p>
    <w:p w14:paraId="402291CE" w14:textId="094066BA"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06B1ADB6" w14:textId="2F8D9412" w:rsidR="00350E00" w:rsidRPr="002C7F14" w:rsidRDefault="00350E00"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투여 형태에 대해 제안된 요구사항</w:t>
      </w:r>
    </w:p>
    <w:p w14:paraId="45C66FD3" w14:textId="77777777" w:rsidR="00350E00" w:rsidRPr="002C7F14" w:rsidRDefault="00350E00" w:rsidP="00350E0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본 기관은 자외선차단제에 사용하기 위해 오일, 로션, 크림, 젤, 버터, 페이스트, 연고 및 스틱과 같은 투여 형태를 GRASE로 제안하고 있다. 또한 스프레이 자외선차단제의 경우 의도하지 않은 흡입(입자 크기 제한) 및 인화성(인화성 및 건조 시간 시험)으로 인한 잠재적 위험을 최소화하는 데 필요한 시험과 관련 라벨링 요구사항을 충족하는 조건으로 GRASE 지위를 제안하고 있다. 파우더 투여 형태의 자외선차단제를 GRASE로 분류하기에는 데이터가 충분하지 않다고 제안하고 있으며, 최종 명령에서 GRASE로 판명될 경우 자외선차단제 파우더에도 입자 크기 제한이 적용될 것으로 예상한다. 마지막으로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E.i에서 자세히 설명한 바와 같이, FD&amp;C법의 제505G(m)(2)조를 운영함으로써 위에서 확인된 10가지 투여 형태를 제외한 모든 투여 형태의 자외선차단제는 현재 시판하기 위해 제505조에 따라 승인된 신청이 필요하다(시판을 위해 NDA가 요구되는 자외선차단제 투여 형태에는 예컨대 물티슈, 타월렛, 바디워시, 샴푸가 포함된다). 이 명령은 이 요구사항을 변경할 것을 제안하지 않는다.</w:t>
      </w:r>
    </w:p>
    <w:p w14:paraId="6BA1C2D1" w14:textId="37BBB31A"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36D2CAEE" w14:textId="6F7DDD1A" w:rsidR="00350E00" w:rsidRPr="002C7F14" w:rsidRDefault="00350E00"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 최대 자외선차단지수 및 광범위 스펙트럼 요구사항</w:t>
      </w:r>
    </w:p>
    <w:p w14:paraId="2A9A3869" w14:textId="6F819E7B" w:rsidR="00350E00" w:rsidRPr="002C7F14" w:rsidRDefault="00350E00" w:rsidP="00350E0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1999년 최종 모노그래프에서 FDA는 자외선차단제 모노그래프 제품에 대해 라벨링된 최대 SPF 값으로 SPF 30+를 설정했으며, 이후 (2011년에) 이 값을 SPF 50+로 상향 조정할 것을 제안했다("개정된 효과 측정; 인체용 일반의약품 자외선 차단 의약품"(연방관보 76권 35672 페이지, 2011년 6월 17일) (2011년 Max SPF PR)). CARES법에 의해 제정된 자외선차단제에 대한 최종간주명령은 최대 SPF 값에 대한 제한을 포함하지 않는다. SPF가 60인 광범위 스펙트럼 자외선차단제와 관련된 유의미한 임상적 이점을 보여주는 증거로 인해 이제 라벨링된 최대 SPF 값을 SPF 60+로 설정할 것을 제안하고 있다. SPF 값이 60 이상인 자외선차단제가 유의미한 임상적 추가 이점을 제공한다는 것을 보여주는 데이터가 부족하다는 점을 감안하여, 60+을 초과하는 라벨링된 SPF 값을 허용하지 않을 것을 제안하고 있다.</w:t>
      </w:r>
    </w:p>
    <w:p w14:paraId="103AC66A" w14:textId="39DA8F99"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72EE6147" w14:textId="77777777" w:rsidR="00603BCD" w:rsidRPr="002C7F14" w:rsidRDefault="00603BCD" w:rsidP="00603BCD">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제안된 SPF 라벨링 상한은 SPF 60+이지만, SPF 값이 최대 80인 자외선차단제의 시판을 허용할 것을 제안하고 있다. 이 제형 마진은 (1) 자외선 A(UVA) 차단 기능이 더 뛰어난 제품 개발을 용이하게 하는 제형 유연성을 제공하고, (2) SPF 60+로 라벨링된 자외선차단제에 대한 SPF 시험 결과의 변동 범위(섹션 VI.E.ii.4.II-III에서 더 자세히 논의함)를 보다 충분히 고려하기 위한 것이다. SPF 값이 SPF 80을 초과하는 자외선차단제를 (승인된 NDA 없이) 시판하는 것을 허용하지 않도록 제안하고 있다.</w:t>
      </w:r>
    </w:p>
    <w:p w14:paraId="10C3B82D" w14:textId="41A618BB"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07096687" w14:textId="77777777" w:rsidR="00603BCD" w:rsidRPr="002C7F14" w:rsidRDefault="00603BCD" w:rsidP="00603BCD">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2011년 "라벨링 및 효과 시험; 인체용 일반의약품 자외선 차단 의약품"(L&amp;E 최종 규칙)(연방관보 76권 35620 페이지, 2011년 6월 17일) 및 2011년 Max SPF PR이 고시된 이후 UVA 노출과 피부암 및 기타 위해를 연결하는 과학적 증거가 크게 증가했다. 이러한 증거는 시판된 자외선차단제, 특히 현행 광범위 스펙트럼 시험을 통과하지 못했거나 (현행 광범위 스펙트럼 시험을 통과했더라도) UVA 차단의 균일성이 부족한 고SPF 자외선차단제의 불충분한 UVA 차단 가능성에 대한 우려를 제기한다. 이러한 제품을 사용하는 소비자는 일광화상을 성공적으로 예방하는 반면 과도하게 많은 양의 UVA 방사선을 축적하여 피부암 및 조기 피부 노화와 관련된 추가 위험에 노출될 수 있다.</w:t>
      </w:r>
    </w:p>
    <w:p w14:paraId="1C0F9B26" w14:textId="1DBFB2C9" w:rsidR="00603BCD" w:rsidRPr="002C7F14" w:rsidRDefault="00603BCD" w:rsidP="00EF791F">
      <w:pPr>
        <w:spacing w:line="264" w:lineRule="auto"/>
        <w:jc w:val="both"/>
        <w:rPr>
          <w:rFonts w:asciiTheme="minorEastAsia" w:eastAsiaTheme="minorEastAsia" w:hAnsiTheme="minorEastAsia" w:cs="맑은 고딕"/>
          <w:sz w:val="20"/>
          <w:szCs w:val="20"/>
          <w:lang w:eastAsia="ko-KR"/>
        </w:rPr>
      </w:pPr>
    </w:p>
    <w:p w14:paraId="5E3A826A" w14:textId="2787BA1B" w:rsidR="00603BCD" w:rsidRPr="002C7F14" w:rsidRDefault="00603BCD" w:rsidP="003F14F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우려사항을 해결하기 위해 더 높은 수준의 UVA 차단과 SPF 값 증가를 조합하도록 설계된 여러 가지 제안을 하고 있다. SPF 값이 15 이상인 모든 자외선차단제가 광범위 스펙트럼 요구사항을 충족하도록 요구할 것을 제안하고 있다. 무엇보다도 이 제안은 현행 라벨링 제도에서 발생하는 잠재적 혼란을 제거한다. 예컨대, 지수가 더 높은 제품(예: SPF 30으로 라벨링된 제품)이 지수가 더 낮은 제품(예: 광범위 스펙트럼 SPF 15로 라벨링된 제품)보다 열등한 UVA 방사선 차단을 제공할 수 있다. 광범위 스펙트럼 제품이 0.7 이상의 UVA I/UV 비율을 충족해야 한다는 요구사항을 현행 광범위 스펙트럼 시험에 추가할 것을 제안하고 있다. 자외선(UV) 스펙트럼의 UVA 부분이 얼마나 UVA I 방사선으로 구성되어 있는지, 현재 UVA 노출과 관련된 피부암 위험에 대해 무엇을 알고 있는지를 고려할 때, 자외선차단제가 스펙트럼의 UVA I 부분에서 적절한 보호를 제공하도록 보장하는 것이 중요하다.</w:t>
      </w:r>
      <w:r w:rsidRPr="002C7F14">
        <w:rPr>
          <w:rStyle w:val="a7"/>
          <w:rFonts w:asciiTheme="minorEastAsia" w:eastAsiaTheme="minorEastAsia" w:hAnsiTheme="minorEastAsia"/>
          <w:sz w:val="20"/>
          <w:szCs w:val="20"/>
          <w:lang w:eastAsia="ko-KR"/>
        </w:rPr>
        <w:footnoteReference w:id="16"/>
      </w:r>
      <w:r w:rsidRPr="002C7F14">
        <w:rPr>
          <w:rFonts w:asciiTheme="minorEastAsia" w:eastAsiaTheme="minorEastAsia" w:hAnsiTheme="minorEastAsia" w:hint="eastAsia"/>
          <w:sz w:val="20"/>
          <w:szCs w:val="20"/>
          <w:lang w:eastAsia="ko-KR"/>
        </w:rPr>
        <w:t xml:space="preserve"> SPF가 2~14인 자외선차단제는 UVA 방사선 및 자외선 B(UVB) 방사선 차단 기능</w:t>
      </w:r>
      <w:r w:rsidR="003F14F5" w:rsidRPr="002C7F14">
        <w:rPr>
          <w:rFonts w:asciiTheme="minorEastAsia" w:eastAsiaTheme="minorEastAsia" w:hAnsiTheme="minorEastAsia" w:hint="eastAsia"/>
          <w:sz w:val="20"/>
          <w:szCs w:val="20"/>
          <w:lang w:eastAsia="ko-KR"/>
        </w:rPr>
        <w:t>을 제공하든 제공하지 않든 햇빛으로 인한 피부암 및 조기 피부 노화 위험을 줄이는 데 도움이 되는 것으로 입증되지 않았기 때문에, 이러한 제품이 개정된 광범위 스펙트럼 시험을 통과하도록 요구할 것을 제안하지 않는다. 그러나 이러한 저SPF 제품이 계속 시장에 남아야 하는지에 대한 의견을 구한다.</w:t>
      </w:r>
    </w:p>
    <w:p w14:paraId="6525BCF3" w14:textId="73CEA219" w:rsidR="00603BCD" w:rsidRPr="002C7F14" w:rsidRDefault="00603BCD" w:rsidP="00EF791F">
      <w:pPr>
        <w:spacing w:line="264" w:lineRule="auto"/>
        <w:jc w:val="both"/>
        <w:rPr>
          <w:rFonts w:asciiTheme="minorEastAsia" w:eastAsiaTheme="minorEastAsia" w:hAnsiTheme="minorEastAsia" w:cs="맑은 고딕"/>
          <w:sz w:val="20"/>
          <w:szCs w:val="20"/>
          <w:lang w:eastAsia="ko-KR"/>
        </w:rPr>
      </w:pPr>
    </w:p>
    <w:p w14:paraId="573AA4A9" w14:textId="77777777" w:rsidR="003F14F5" w:rsidRPr="002C7F14" w:rsidRDefault="003F14F5" w:rsidP="003F14F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끝으로, SPF 값이 15 이상인 자외선차단제는 시험된 SPF 결과 범위에서 최저 수치에 해당하는 SPF 값이 라벨링되도록 요구할 것을 제안하고 있다. 예를 들어 SPF 15~19로 시험된 제품은 "SPF 15", SPF 40~49로 시험된 제품은 "SPF 40"으로 라벨링한다. 이 제안을 하는 이유는 새로운 증거로 인해 (피험자의 홍반에 대한 시각적 평가에 의존하는) SPF 시험에 내재된 변동성을 재검토하게 되었기 때문이다. 검토된 데이터에 따르면, SPF 시험 중에 수행된 임상 평가는 SPF 범위의 사용을 정당화하는 변동성을 생성한다. 섹션 VI.E.ii.4.II-III에서 더 자세히 설명한 바와 같이, 이러한 변동성은 높은 SPF에서 더욱 심화되기 때문에 SPF 30 이상으로 시험된 자외선차단제는 10 단위(즉, SPF 30, SPF 40, SPF 50, 제안된 최대 SPF 60+)로, SPF가 15~29인 자외선차단제는 5 단위(즉, SPF 15, SPF 20, SPF 25)로 라벨링하고, SPF가 15 미만인 경우 라벨링된 SPF 값이 (정확한 수치가 아닌) 범위에 해당해야 한다는 요구사항이 반드시 필요한 것은 아님을 제안하고 있다.</w:t>
      </w:r>
    </w:p>
    <w:p w14:paraId="55124618" w14:textId="77777777" w:rsidR="00EF1354" w:rsidRPr="002C7F14" w:rsidRDefault="00EF1354" w:rsidP="00EF791F">
      <w:pPr>
        <w:spacing w:line="264" w:lineRule="auto"/>
        <w:jc w:val="both"/>
        <w:rPr>
          <w:rFonts w:asciiTheme="minorEastAsia" w:eastAsiaTheme="minorEastAsia" w:hAnsiTheme="minorEastAsia" w:cs="맑은 고딕"/>
          <w:sz w:val="20"/>
          <w:szCs w:val="20"/>
          <w:lang w:eastAsia="ko-KR"/>
        </w:rPr>
      </w:pPr>
    </w:p>
    <w:p w14:paraId="42186C97" w14:textId="0594C12B" w:rsidR="00603BCD" w:rsidRPr="002C7F14" w:rsidRDefault="003F14F5"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 PDP 라벨링 요구사항</w:t>
      </w:r>
    </w:p>
    <w:p w14:paraId="69889A8C" w14:textId="77777777" w:rsidR="003F14F5" w:rsidRPr="002C7F14" w:rsidRDefault="003F14F5" w:rsidP="003F14F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자외선차단제의 주요 표시 패널(PDP)에 표시해야 할 정보에 대한 현행 요구사항을 부분적으로 개정할 것을 제안하고 있다. PDP는 제품이 소매를 위해 전시될 때 보거나 살펴볼 가능성이 가장 높은 제품 라벨의 일부이다. PDP의 주요 특징은 제품식별명(SOI)이다. SOI는 제품에 함유된 자외선차단제 활성성분의 알파벳순 열거 후 "자외선차단제" 및 제품의 투여 형태(로션, 스프레이 등)로 구성할 것을 제안하고 있다. 이 정보는 포장 또는 용기의 앞면에 제품의 주요 특성에 대한 간결한 요약을 제공하기 위해 PDP의 다른 중요한 요소(예: SPF, 광범위 스펙트럼 및 내수성 정보)로 보완함으로써 소비자가 제품을 보다 쉽게 비교하고 이에 따라 제품을 선택하거나 비교할 수 있도록 한다. 햇빛에 의해 유발되는 피부암 또는 조기 피부 노화를 예방하는 데 도움이 되는 것으로 보이지 않는 자외선차단제의 경우, SPF 문구 뒤에 별표(*)를 붙여 소비자가 라벨의 다른 곳에 잇는 "피부암/피부 노화 경고"를 확인하도록 안내한다. 끝으로, 필수 정보가 다른 라벨링 기능으로 인해 가려지거나 압도되는 것을 방지하기 위해 PDP의 SPF, 광범위 스펙트럼 및 내수성 문구에 대한 형식 요구사항을 개정하고 있다.</w:t>
      </w:r>
    </w:p>
    <w:p w14:paraId="3E48C2BB" w14:textId="08634EFD" w:rsidR="00603BCD" w:rsidRPr="002C7F14" w:rsidRDefault="00603BCD" w:rsidP="00EF791F">
      <w:pPr>
        <w:spacing w:line="264" w:lineRule="auto"/>
        <w:jc w:val="both"/>
        <w:rPr>
          <w:rFonts w:asciiTheme="minorEastAsia" w:eastAsiaTheme="minorEastAsia" w:hAnsiTheme="minorEastAsia" w:cs="맑은 고딕"/>
          <w:sz w:val="20"/>
          <w:szCs w:val="20"/>
          <w:lang w:eastAsia="ko-KR"/>
        </w:rPr>
      </w:pPr>
    </w:p>
    <w:p w14:paraId="64D9E539" w14:textId="51F336E1" w:rsidR="00603BCD" w:rsidRPr="002C7F14" w:rsidRDefault="003F14F5"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최종 제형 시험 절차 및 기록 보관에 대해 제안된 요구사항</w:t>
      </w:r>
    </w:p>
    <w:p w14:paraId="401186D0" w14:textId="77777777" w:rsidR="003F14F5" w:rsidRPr="002C7F14" w:rsidRDefault="003F14F5" w:rsidP="003F14F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비처방 자외선차단제가 GRASE 조건에서 시판되도록 보장하기 위해, 자외선차단제의 필수 최종 제형 시험 기록을 제품 유효기간 후 1년 동안 또는 제품이 유효기간 표시에서 면제된 경우(대부분의 자외선차단제가 여기에 해당됨) 해당 시험에 근거하여 라벨링된 마지막 로트를 유통한 후 3년 동안 보관하도록 요구할 것을 제안하고 있다. 또한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E.iv.2.II에 정의된) 책임자가 자외선차단제 제형 시험 기록을 보관하도록 요구할 것을 제안하며, 필수 기록은 FDA 검사 대상이 될 것임을 명확히 하고 있다. 이외에도 임상적 최종 제형 시험 절차에 대한 FDA의 기대를 명확히 하고 시판된 자외선차단제 시험이 피험자를 보호하는 동시에 신뢰할 수 있는 결과를 도출할 수 있는 방식으로 수행되도록 보장하기 위해 설계된 비처방 자외선차단제에 대한 라벨링 및 시험 요구사항에 대한 여러 개정사항을 제안하고 있다.</w:t>
      </w:r>
    </w:p>
    <w:p w14:paraId="38FA9170" w14:textId="7FAA3C57"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40D9E0D3" w14:textId="686228F3" w:rsidR="003F14F5" w:rsidRPr="002C7F14" w:rsidRDefault="003F14F5"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자외선차단제-방충제 조합 제품에 대해 제안된 지위</w:t>
      </w:r>
      <w:r w:rsidRPr="002C7F14">
        <w:rPr>
          <w:rStyle w:val="a7"/>
          <w:rFonts w:asciiTheme="minorEastAsia" w:eastAsiaTheme="minorEastAsia" w:hAnsiTheme="minorEastAsia" w:cs="맑은 고딕"/>
          <w:b/>
          <w:sz w:val="20"/>
          <w:szCs w:val="20"/>
          <w:lang w:eastAsia="ko-KR"/>
        </w:rPr>
        <w:footnoteReference w:id="17"/>
      </w:r>
    </w:p>
    <w:p w14:paraId="7591437A" w14:textId="66940888" w:rsidR="003F14F5" w:rsidRPr="002C7F14" w:rsidRDefault="003F14F5" w:rsidP="003F14F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이 명령안은 FDA에 의해 자외선 차단 의약품으로, 연방 살충살균살서제법(FIFRA)에 따라 미국 환경보호청(EPA)에 의해 살충제로 공동 규제되는 자외선차단제-방충제 조합 제품도 다룬다. 2007년에 FDA와 EPA는 모두 이러한 제품에 대한 적절한 규제 지위에 대한 의견을 요청하는 사전규칙제정공고(ANPR)를 발행했다. FDA 및 EPA 라벨링 요구사항 간 비호환성으로 인해 이러한 제품이 자외선차단제 성분의 안전하고 효과적인 사용을 충분히 보장하는 방식으로 라벨링되지 않기 때문에 이러한 제품을 GRASE가 아닌 것으로 분류할 것을 제안하고 있다. 또한 일부 자외선차단제 활성성분을 살충제 </w:t>
      </w:r>
      <w:proofErr w:type="gramStart"/>
      <w:r w:rsidRPr="002C7F14">
        <w:rPr>
          <w:rFonts w:asciiTheme="minorEastAsia" w:eastAsiaTheme="minorEastAsia" w:hAnsiTheme="minorEastAsia" w:hint="eastAsia"/>
          <w:sz w:val="20"/>
          <w:szCs w:val="20"/>
          <w:lang w:eastAsia="ko-KR"/>
        </w:rPr>
        <w:t>N,N</w:t>
      </w:r>
      <w:proofErr w:type="gramEnd"/>
      <w:r w:rsidRPr="002C7F14">
        <w:rPr>
          <w:rFonts w:asciiTheme="minorEastAsia" w:eastAsiaTheme="minorEastAsia" w:hAnsiTheme="minorEastAsia" w:hint="eastAsia"/>
          <w:sz w:val="20"/>
          <w:szCs w:val="20"/>
          <w:lang w:eastAsia="ko-KR"/>
        </w:rPr>
        <w:t>-디에틸-메타-톨루아미드 (DEET)와 조합하면 두 성분 중 하나 또는 둘 다의 흡수가 증가할 수 있다는 데이터도 있다.</w:t>
      </w:r>
      <w:r w:rsidRPr="002C7F14">
        <w:rPr>
          <w:rStyle w:val="a7"/>
          <w:rFonts w:asciiTheme="minorEastAsia" w:eastAsiaTheme="minorEastAsia" w:hAnsiTheme="minorEastAsia"/>
          <w:sz w:val="20"/>
          <w:szCs w:val="20"/>
          <w:lang w:eastAsia="ko-KR"/>
        </w:rPr>
        <w:footnoteReference w:id="18"/>
      </w:r>
      <w:r w:rsidRPr="002C7F14">
        <w:rPr>
          <w:rFonts w:asciiTheme="minorEastAsia" w:eastAsiaTheme="minorEastAsia" w:hAnsiTheme="minorEastAsia"/>
          <w:sz w:val="20"/>
          <w:szCs w:val="20"/>
          <w:lang w:eastAsia="ko-KR"/>
        </w:rPr>
        <w:t xml:space="preserve"> </w:t>
      </w:r>
    </w:p>
    <w:p w14:paraId="769CCD11" w14:textId="7874023B"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15867CF5" w14:textId="03D248CB" w:rsidR="003F14F5" w:rsidRPr="002C7F14" w:rsidRDefault="003F14F5" w:rsidP="00A111F6">
      <w:pPr>
        <w:pStyle w:val="a8"/>
        <w:numPr>
          <w:ilvl w:val="0"/>
          <w:numId w:val="3"/>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조화 및/또는 통합을 위한 기타 제안</w:t>
      </w:r>
    </w:p>
    <w:p w14:paraId="09B7F2E8" w14:textId="66E9EE08" w:rsidR="003F14F5" w:rsidRPr="002C7F14" w:rsidRDefault="003F14F5" w:rsidP="003F14F5">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자외선차단제 및 피부보호제 활성성분을 모두 함유한 제품에 대한 요구사항을 조화시키기 위해, § M016, 인체용 일반의약품 피부 보호 의약품</w:t>
      </w:r>
      <w:r w:rsidRPr="002C7F14">
        <w:rPr>
          <w:rStyle w:val="a7"/>
          <w:rFonts w:asciiTheme="minorEastAsia" w:eastAsiaTheme="minorEastAsia" w:hAnsiTheme="minorEastAsia"/>
          <w:sz w:val="20"/>
          <w:szCs w:val="20"/>
          <w:lang w:eastAsia="ko-KR"/>
        </w:rPr>
        <w:footnoteReference w:id="19"/>
      </w:r>
      <w:r w:rsidRPr="002C7F14">
        <w:rPr>
          <w:rFonts w:asciiTheme="minorEastAsia" w:eastAsiaTheme="minorEastAsia" w:hAnsiTheme="minorEastAsia" w:hint="eastAsia"/>
          <w:sz w:val="20"/>
          <w:szCs w:val="20"/>
          <w:lang w:eastAsia="ko-KR"/>
        </w:rPr>
        <w:t>(피부보호제 모토그래프) 및 자외선차단제 모노그래프(§ M020) 둘 다에 대한 변경사항을 제안하고 있다. 또한 새로운 비모노그래프 조건 NM020: 일반의약품 자외선 차단 의약품에서 비모노그래프 조건 § NM900</w:t>
      </w:r>
      <w:r w:rsidRPr="002C7F14">
        <w:rPr>
          <w:rStyle w:val="a7"/>
          <w:rFonts w:asciiTheme="minorEastAsia" w:eastAsiaTheme="minorEastAsia" w:hAnsiTheme="minorEastAsia"/>
          <w:sz w:val="20"/>
          <w:szCs w:val="20"/>
          <w:lang w:eastAsia="ko-KR"/>
        </w:rPr>
        <w:footnoteReference w:id="20"/>
      </w:r>
      <w:r w:rsidRPr="002C7F14">
        <w:rPr>
          <w:rFonts w:asciiTheme="minorEastAsia" w:eastAsiaTheme="minorEastAsia" w:hAnsiTheme="minorEastAsia" w:hint="eastAsia"/>
          <w:sz w:val="20"/>
          <w:szCs w:val="20"/>
          <w:lang w:eastAsia="ko-KR"/>
        </w:rPr>
        <w:t>의 기존 자외선차단제 조항 및 이 명령에서 제안된 새로운 특성을 모두 자외선차단제로 사용하도록 제공된 OTC 의약품이 FD&amp;C법의 제505G(b)(1)(C)조에 따라 GRASE가 아닌 것으로 만드는 특성으로 통합할 것을 제안한다. 따라서 새로운 § NM020에 명시된 특성을 지닌 자외선차단제는 FD&amp;C법 제201(p)조에 따라 (시판 전에 승인된 NDA가 필요한) 신약이 될 것이다.</w:t>
      </w:r>
    </w:p>
    <w:p w14:paraId="038DE823" w14:textId="760F3218"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4001C971" w14:textId="02D6172E" w:rsidR="003F14F5" w:rsidRPr="002C7F14" w:rsidRDefault="003F14F5" w:rsidP="00A111F6">
      <w:pPr>
        <w:pStyle w:val="a8"/>
        <w:numPr>
          <w:ilvl w:val="0"/>
          <w:numId w:val="2"/>
        </w:numPr>
        <w:spacing w:afterLines="100" w:after="240" w:line="264" w:lineRule="auto"/>
        <w:ind w:leftChars="0" w:left="1701" w:hanging="708"/>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발행 이유</w:t>
      </w:r>
    </w:p>
    <w:p w14:paraId="41BFE6D5" w14:textId="1036509D" w:rsidR="003F14F5" w:rsidRPr="002C7F14" w:rsidRDefault="003F14F5" w:rsidP="00A111F6">
      <w:pPr>
        <w:pStyle w:val="a8"/>
        <w:numPr>
          <w:ilvl w:val="0"/>
          <w:numId w:val="6"/>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추가 안전성 정보의 필요성</w:t>
      </w:r>
    </w:p>
    <w:p w14:paraId="556F4E75" w14:textId="05E56135" w:rsidR="003F14F5" w:rsidRPr="002C7F14" w:rsidRDefault="003F14F5" w:rsidP="00A111F6">
      <w:pPr>
        <w:pStyle w:val="a8"/>
        <w:numPr>
          <w:ilvl w:val="0"/>
          <w:numId w:val="7"/>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자외선차단제 활성성분에 대한 소비자 노출 증가.</w:t>
      </w:r>
    </w:p>
    <w:p w14:paraId="6C59063D" w14:textId="14540703" w:rsidR="003F14F5" w:rsidRPr="002C7F14" w:rsidRDefault="003F14F5" w:rsidP="003F14F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자외선차단제 활성성분에 대한 소비자 노출은 FDA가 1970년대에 이 명령안에서 문제가 되는 자외선차단제 활성성분에 대한 초기 안전성 평가를 시작한 이후 극적으로 증가했다. 다음을 비롯한 여러 요인이 이러한 증가에 영향을 미쳤다.</w:t>
      </w:r>
    </w:p>
    <w:p w14:paraId="001993D0" w14:textId="704847C2"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51D1BEC0" w14:textId="77777777" w:rsidR="003F14F5" w:rsidRPr="002C7F14" w:rsidRDefault="003F14F5"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자외선차단제를 사용하는 소비자의 수와 유형의 상당한 증가(Matlack 2009년; 국립암연구소 2018년)</w:t>
      </w:r>
    </w:p>
    <w:p w14:paraId="768FB193" w14:textId="77777777" w:rsidR="003F14F5" w:rsidRPr="002C7F14" w:rsidRDefault="003F14F5"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더 많은 활성성분을 더 높은 농도로 함유한 자외선차단제(Urbach 2001년)</w:t>
      </w:r>
    </w:p>
    <w:p w14:paraId="019C4ED7" w14:textId="77777777" w:rsidR="003F14F5" w:rsidRPr="002C7F14" w:rsidRDefault="003F14F5"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의료 및 공중보건 당국에 의한 햇빛 노출 위험에 대한 인식 제고 및 일상적인 자외선차단제 사용 권고(예: 미국 보건복지부, 날짜 불명(n.d.))</w:t>
      </w:r>
    </w:p>
    <w:p w14:paraId="64893A16" w14:textId="77777777" w:rsidR="003F14F5" w:rsidRPr="002C7F14" w:rsidRDefault="003F14F5"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소비자가 한 번 사용할 때마다 더 많은 양의 자외선차단제를 사용하고 자외선차단제를 더 자주 바르도록 안내하는 자외선차단제 사용 지침의 변화(연방관보 76권 35672~35678 페이지) (최종간주명령의 § M020.50 참조)</w:t>
      </w:r>
    </w:p>
    <w:p w14:paraId="1FF5DC55" w14:textId="7F864FBB" w:rsidR="003F14F5" w:rsidRPr="002C7F14" w:rsidRDefault="003F14F5" w:rsidP="00A111F6">
      <w:pPr>
        <w:pStyle w:val="a8"/>
        <w:numPr>
          <w:ilvl w:val="0"/>
          <w:numId w:val="8"/>
        </w:numPr>
        <w:spacing w:line="264" w:lineRule="auto"/>
        <w:ind w:leftChars="0" w:left="1673" w:hanging="397"/>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얼굴 메이크업, 보습 크림 및 립스틱과 같은 일상용품을 비롯한 다양한 유형의 자외선차단제의 가용성 및 사용 확대</w:t>
      </w:r>
    </w:p>
    <w:p w14:paraId="20DFC04A" w14:textId="42E09E84"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3E2DFA4E" w14:textId="7C150860" w:rsidR="003F14F5" w:rsidRPr="002C7F14" w:rsidRDefault="003F14F5" w:rsidP="003F14F5">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제2차 세계대전 중 미육군이 항공모함 군인(및 일상적으로 강렬한 햇빛에 장시간 노출되는 사람)이 사용할 수 있는 효과적인 자외선차단제 개발 연구에 처음 자금을 지원했을 때는 비교적 적은 자외선차단제가 사용되었다(Matlack 2009년). 이후 해변에서 일광욕을 하는 등 의도적인 햇빛 노출 상황에서 쉽게 햇빛에 탄 소비자(즉, 피부가 흰 사람)가 사용하도록 시판되면서 자외선차단제의 사용 범위가 확대되기 시작했다(Svarc 2015년). 자외선차단제는 이제 훨씬 더 광범위한 소비자가 비단 일광화상뿐만 아니라 많은 유형의 햇빛으로 인한 피부 손상으로부터 보호하기 위해 일상적으로 사용하고 있다. 누적 데이터에 따르면 햇빛 노출이 증가할수록 피부암 및 조기 피부 노화 위험이 증가한다(Matlack 2009년). 이러한 유형의 햇빛으로 인한 피부 손상 위험을 줄이기 위해 공중보건기관(FDA 포함)은 수년 동안 햇빛에 노출되는 시간을 제한하고 보호용 의류를 착용하는 것과 같은 다른 햇빛 차단 행동과 함께 자외선차단제를 사용하도록 소비자에게 촉구해 왔다(FDA 2019b년; 질병통제예방센터, n.d.; 미국암학회, n.d.).</w:t>
      </w:r>
    </w:p>
    <w:p w14:paraId="61AC15F0" w14:textId="21D29612"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1B348707" w14:textId="685FA4F9"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자외선차단제 활성성분에 대한 소비자 노출을 증가시킨 또 다른 요인은 라벨링된 SPF 값이 더 높은 자외선차단제가 출시되고 널리 사용된다는 점이다. 자외선차단제 라벨링에 제안된 최대 SPF 값은 자외선차단제의 안전성 및 효능을 평가하기 위해 FDA가 소집한 자문위원회가 발행한 1978년 보고서</w:t>
      </w:r>
      <w:r w:rsidRPr="002C7F14">
        <w:rPr>
          <w:rStyle w:val="a7"/>
          <w:rFonts w:asciiTheme="minorEastAsia" w:eastAsiaTheme="minorEastAsia" w:hAnsiTheme="minorEastAsia"/>
          <w:sz w:val="20"/>
          <w:szCs w:val="20"/>
          <w:lang w:eastAsia="ko-KR"/>
        </w:rPr>
        <w:footnoteReference w:id="21"/>
      </w:r>
      <w:r w:rsidRPr="002C7F14">
        <w:rPr>
          <w:rFonts w:asciiTheme="minorEastAsia" w:eastAsiaTheme="minorEastAsia" w:hAnsiTheme="minorEastAsia" w:hint="eastAsia"/>
          <w:sz w:val="20"/>
          <w:szCs w:val="20"/>
          <w:lang w:eastAsia="ko-KR"/>
        </w:rPr>
        <w:t>의 SPF 15에서 1999년 최종 모노그래프의 SPF 30+로, 이후 2011년 Max SPF PR의 SPF 50+로 점차 증가했다. 이러한 더 높은 SPF를 달성하기 위해 현재 시판 중인 많은 제품은 FDA의 OTC 자외선차단제 검토가 시작되었을 때 일반적으로 제품에 조합된 것보다 더 높은 농도로 조합된 더 많은 활성성분으로 제형화된다. 피부 손상을 유발하는 UVA 방사선의 역할에 대한 지식이 증가함에 따라 UVA 및 UVB 둘 다의 차단을 달성하도록 설계된 활성성분을 조합한 광범위 스펙트럼 제품의 조제도 장려되었다. 또한 얼굴 메이크업, 보습 크림, 립스틱과 같이 널리 사용되는 다른 제품에도 제형에 자외선차단제 활성성분이 추가되었다. 이러한 추세는 OTC 모노그래프 시스템에 따라 규제되는 자외선차단제에 대한 현행 라벨링 규정의 진화에 반영되어 있다.</w:t>
      </w:r>
    </w:p>
    <w:p w14:paraId="26D3EA03" w14:textId="2AC534C8"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700EDA27" w14:textId="77777777"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이러한 자외선차단제 사용 지침의 변경은 자외선차단제 활성성분의 사용 및 노출 증가에도 기여했다. 자문위원회가 1978년 권고한 라벨링은 간단히 소비자가 자외선차단제를 넉넉히 바르고 수영이나 땀을 많이 흘린 후 다시 바르도록 지시했다(연방관보 43권 38206~38215 페이지). 반면 현행 라벨링은 소비자가 광범위 스펙트럼 SPF 15 이상의 자외선차단제를 다른 햇빛 차단 조치와 함께 정기적으로 사용하며, 햇빛 노출 15분 전에 넉넉히/충분히 모든 자외선차단제를 바르고 수영을 하거나 땀을 흘리는 경우 최소 2시간마다 또는 더 자주 다시 바르라고 권고한다(최종간주명령의 § M020.50(e) 참조). </w:t>
      </w:r>
    </w:p>
    <w:p w14:paraId="6A869F44" w14:textId="4998DFE6"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08D25F7D" w14:textId="1103A230" w:rsidR="003F14F5" w:rsidRPr="002C7F14" w:rsidRDefault="00CB660F" w:rsidP="00A111F6">
      <w:pPr>
        <w:pStyle w:val="a8"/>
        <w:numPr>
          <w:ilvl w:val="0"/>
          <w:numId w:val="7"/>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새로운 안전 문제</w:t>
      </w:r>
    </w:p>
    <w:p w14:paraId="784BCC7A" w14:textId="0932F331"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최근 몇 년 동안 일부 자외선차단제 활성성분의 경피 흡수가 이전에 생각했던 것보다 더 크다는 데이터가 늘어나고 있으며, 이에 따라 생식, 발달 또는 발암 영향의 가능성을 비롯하여 이전에 평가되지 않은 안전 문제를 제기할 수 있다. 섹션 VI.C.iii.</w:t>
      </w:r>
      <w:proofErr w:type="gramStart"/>
      <w:r w:rsidRPr="002C7F14">
        <w:rPr>
          <w:rFonts w:asciiTheme="minorEastAsia" w:eastAsiaTheme="minorEastAsia" w:hAnsiTheme="minorEastAsia" w:hint="eastAsia"/>
          <w:sz w:val="20"/>
          <w:szCs w:val="20"/>
          <w:lang w:eastAsia="ko-KR"/>
        </w:rPr>
        <w:t>2.I</w:t>
      </w:r>
      <w:proofErr w:type="gramEnd"/>
      <w:r w:rsidRPr="002C7F14">
        <w:rPr>
          <w:rFonts w:asciiTheme="minorEastAsia" w:eastAsiaTheme="minorEastAsia" w:hAnsiTheme="minorEastAsia" w:hint="eastAsia"/>
          <w:sz w:val="20"/>
          <w:szCs w:val="20"/>
          <w:lang w:eastAsia="ko-KR"/>
        </w:rPr>
        <w:t>에서 자세히 논의한 바와 같이, 새롭게 제공된 정보에 따르면 예를 들어 옥시벤존의 경피 흡수 및 전신 가용성과 관련된 독성 가능성이 있다. 흡수 및 잠재적 안전 위험에 대한 이 새로운 정보만으로는 문제의 활성성분이 함유된 제품이 안전하지 않다는 단정적 결론을 뒷받침하기에 충분하지 않다. 그러나 이러한 상황은 특정 자외선차단제 활성성분에 대한 임상 약리 및 비임상 안전성 데이터 부족과 조합되어 일부 자외선차단제 활성성분의 경우 현재 기록이 연방규정 제21편 제330.10조에 명시된 안전성 및 효과의 일반적인 인정에 대한 법적 기준을 충족할 만큼 충분한 안전성 증거를 포함하지 않는다는 결론에 도달하게 된다.</w:t>
      </w:r>
    </w:p>
    <w:p w14:paraId="3C5798FE" w14:textId="07952796"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001C5AC5" w14:textId="68A4672F" w:rsidR="003F14F5" w:rsidRPr="002C7F14" w:rsidRDefault="00CB660F" w:rsidP="00A111F6">
      <w:pPr>
        <w:pStyle w:val="a8"/>
        <w:numPr>
          <w:ilvl w:val="0"/>
          <w:numId w:val="6"/>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안전성 데이터 평가 프레임워크</w:t>
      </w:r>
    </w:p>
    <w:p w14:paraId="22CF7472" w14:textId="77777777"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이러한 안전 문제를 고려하여 FDA는 비처방 자외선차단제에 사용되는 활성성분의 안전성 및 효과에 대한 일반적인 인정을 뒷받침하기 위해 수행해야 하는 안전성 시험 범위를 논의하기 위해 2014년 9월 4일과 5일에 비처방 의약품 자문위원회(NDAC) 회의를 개최했다. FDA는 다음과 같은 안전성 시험 패러다임을 제안했다. </w:t>
      </w:r>
    </w:p>
    <w:p w14:paraId="69676CF8" w14:textId="3FCC4BB2"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1B80D132" w14:textId="24093024" w:rsidR="003F14F5"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임상 데이터:</w:t>
      </w:r>
    </w:p>
    <w:p w14:paraId="407AC5F9"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자극 및 감작 시험</w:t>
      </w:r>
    </w:p>
    <w:p w14:paraId="4109ACD6"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광독성 및 광알레르기성 시험</w:t>
      </w:r>
    </w:p>
    <w:p w14:paraId="2B385D3E"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인체 최대 사용 생체이용률 연구</w:t>
      </w:r>
    </w:p>
    <w:p w14:paraId="0EA3CBAA" w14:textId="2C5DE2A6"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시판 후 이상사례 보고서</w:t>
      </w:r>
    </w:p>
    <w:p w14:paraId="03328A70" w14:textId="44F5A31C"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59DEC3CB" w14:textId="77777777"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비임상 (독성) 데이터:</w:t>
      </w:r>
    </w:p>
    <w:p w14:paraId="520A1FF5"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발암성</w:t>
      </w:r>
    </w:p>
    <w:p w14:paraId="6978D258"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전신 발암성</w:t>
      </w:r>
    </w:p>
    <w:p w14:paraId="5B2A59BA"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발달 및 생식 독성(DART)</w:t>
      </w:r>
    </w:p>
    <w:p w14:paraId="02C113A9" w14:textId="77777777"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독성동태(흡수, 분포, 대사 및 배설 포함)</w:t>
      </w:r>
    </w:p>
    <w:p w14:paraId="1E7F3A66" w14:textId="441BDAC3" w:rsidR="00CB660F" w:rsidRPr="002C7F14" w:rsidRDefault="00CB660F"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데이터가 내분비 영향과 같은 기타 장기 영향에 대한 우려를 시사하는 경우, 추가 시험</w:t>
      </w:r>
    </w:p>
    <w:p w14:paraId="4447481A" w14:textId="7DA5D7C5"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5E53A7F6" w14:textId="6F5028A9" w:rsidR="00CB660F" w:rsidRPr="002C7F14" w:rsidRDefault="00CB660F" w:rsidP="00CB660F">
      <w:pPr>
        <w:pStyle w:val="a9"/>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위원회 위원들은 제안된 FDA 프레임워크가 좋은 출발점이라는 의견 일치를 보였다(FDA 2014b년). 2015년 11월 FDA는 산업 지침 초안 </w:t>
      </w:r>
      <w:r w:rsidRPr="002C7F14">
        <w:rPr>
          <w:rFonts w:asciiTheme="minorEastAsia" w:eastAsiaTheme="minorEastAsia" w:hAnsiTheme="minorEastAsia" w:hint="eastAsia"/>
          <w:i/>
          <w:iCs/>
          <w:sz w:val="20"/>
          <w:szCs w:val="20"/>
          <w:lang w:eastAsia="ko-KR"/>
        </w:rPr>
        <w:t>일반의약품 자외선차단제: 안전성 및 효과 데이터</w:t>
      </w:r>
      <w:r w:rsidRPr="002C7F14">
        <w:rPr>
          <w:rFonts w:asciiTheme="minorEastAsia" w:eastAsiaTheme="minorEastAsia" w:hAnsiTheme="minorEastAsia" w:hint="eastAsia"/>
          <w:sz w:val="20"/>
          <w:szCs w:val="20"/>
          <w:lang w:eastAsia="ko-KR"/>
        </w:rPr>
        <w:t>(연방관보 80권 72975 페이지, 2015년 11월 23일)을 발표했다. 이 지침 초안은 SIA에 따라 평가된 OTC 자외선차단제 활성성분 또는 이러한 활성성분의 조합이 지정된 조건에서 사용될 때 GRASE인지 여부를 판단하는 데 필요한 안전성 및 효과 데이터를 설명했고, 이에 대한 의견을 요청했다.</w:t>
      </w:r>
    </w:p>
    <w:p w14:paraId="4994CDEC" w14:textId="3092491C" w:rsidR="00CB660F" w:rsidRPr="002C7F14" w:rsidRDefault="00CB660F" w:rsidP="00CB660F">
      <w:pPr>
        <w:pStyle w:val="a9"/>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FDA는 권고안에 대한 대중의 의견을 고려한 후 2016년 11월에 이 지침을 확정했다(FDA 2018b년).</w:t>
      </w:r>
      <w:r w:rsidRPr="002C7F14">
        <w:rPr>
          <w:rStyle w:val="a7"/>
          <w:rFonts w:asciiTheme="minorEastAsia" w:eastAsiaTheme="minorEastAsia" w:hAnsiTheme="minorEastAsia"/>
          <w:sz w:val="20"/>
          <w:szCs w:val="20"/>
          <w:lang w:eastAsia="ko-KR"/>
        </w:rPr>
        <w:footnoteReference w:id="22"/>
      </w:r>
      <w:r w:rsidRPr="002C7F14">
        <w:rPr>
          <w:rFonts w:asciiTheme="minorEastAsia" w:eastAsiaTheme="minorEastAsia" w:hAnsiTheme="minorEastAsia" w:hint="eastAsia"/>
          <w:sz w:val="20"/>
          <w:szCs w:val="20"/>
          <w:lang w:eastAsia="ko-KR"/>
        </w:rPr>
        <w:t xml:space="preserve"> 이 지침의 권고사항은 FDA의 과학적 전문성, 기존 기술 지침, OTC 의약품 검토에 따른 자외선차단제 활성성분의 GRASE 검토를 위해 제출된 안전성 및 효능 데이터 검토 경험, 외부 과학 전문가들의 의견 및 동의를 반영한다.</w:t>
      </w:r>
    </w:p>
    <w:p w14:paraId="3B06E628" w14:textId="12B865C6"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3E42FB61" w14:textId="77777777"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5D970DEB" w14:textId="7D2B454C"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NDA 없이 시판되는 모든 자외선차단제는 안전성 및 효능에 대한 일반적인 인정이라는 동일한 기준을 따른다. 따라서 자외선차단제 모노그래프 활성성분의 안전성 및 효과를 평가하는 데 필요하다고 예상되는 데이터는 원래 연방규정 제21편 제330.14조</w:t>
      </w:r>
      <w:r w:rsidR="0073673C" w:rsidRPr="002C7F14">
        <w:rPr>
          <w:rStyle w:val="a7"/>
          <w:rFonts w:asciiTheme="minorEastAsia" w:eastAsiaTheme="minorEastAsia" w:hAnsiTheme="minorEastAsia"/>
          <w:sz w:val="20"/>
          <w:szCs w:val="20"/>
          <w:lang w:eastAsia="ko-KR"/>
        </w:rPr>
        <w:footnoteReference w:id="23"/>
      </w:r>
      <w:r w:rsidRPr="002C7F14">
        <w:rPr>
          <w:rFonts w:asciiTheme="minorEastAsia" w:eastAsiaTheme="minorEastAsia" w:hAnsiTheme="minorEastAsia" w:hint="eastAsia"/>
          <w:sz w:val="20"/>
          <w:szCs w:val="20"/>
          <w:lang w:eastAsia="ko-KR"/>
        </w:rPr>
        <w:t xml:space="preserve">("시간 및 범위 신청" 또는 "TEA" 규정)에 규정된 절차에 따라 제출된 자외선차단제 활성성분의 안전성 및 효과를 평가하는 데 필요하다고 권고되었고 SIA에 의해 규정된 대로 FD&amp;C법 제586C조에 따라 발행된 명령안이 적용되는 데이터와 동일하다(산업 지침 </w:t>
      </w:r>
      <w:r w:rsidRPr="002C7F14">
        <w:rPr>
          <w:rFonts w:asciiTheme="minorEastAsia" w:eastAsiaTheme="minorEastAsia" w:hAnsiTheme="minorEastAsia" w:hint="eastAsia"/>
          <w:i/>
          <w:iCs/>
          <w:sz w:val="20"/>
          <w:szCs w:val="20"/>
          <w:lang w:eastAsia="ko-KR"/>
        </w:rPr>
        <w:t>비처방 자외선 차단 의약품 — 안전성 및 효과 데이터</w:t>
      </w:r>
      <w:r w:rsidRPr="002C7F14">
        <w:rPr>
          <w:rFonts w:asciiTheme="minorEastAsia" w:eastAsiaTheme="minorEastAsia" w:hAnsiTheme="minorEastAsia" w:hint="eastAsia"/>
          <w:sz w:val="20"/>
          <w:szCs w:val="20"/>
          <w:lang w:eastAsia="ko-KR"/>
        </w:rPr>
        <w:t>(FDA 2016년) 참조).</w:t>
      </w:r>
    </w:p>
    <w:p w14:paraId="47251D38" w14:textId="75DEC156"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20A90EC8" w14:textId="77777777" w:rsidR="00CB660F" w:rsidRPr="002C7F14" w:rsidRDefault="00CB660F" w:rsidP="00CB660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섹션에 설명된 연구는 일반적으로 FDA가 비처방 자외선차단제에 사용하기 위한 자외선차단제 활성성분이 GRASE인지 여부를 판단하는 데 필요하다. 개별 활성성분에 대한 구체적인 데이터 공백은 사용 가능한 안전성 데이터의 질과 양에 따라 달라지며, 섹션 VI.C에 제시되어 있다. 이 섹션에 설명된 바와 같이, FDA는 기존 공개 기록이 긍정적인 GRASE 결과를 뒷받침할 만큼 충분한 데이터를 포함하는 활성성분이 함유된 자외선차단제가 최종 자외선차단제 명령에 명시된 다른 모든 조건을 충족하는 경우 FD&amp;C법 제201(p)(1)조에 따라 GRASE라고 제안한다. 제505G(b)(1)(A)조 참조. 본 기관은 추가 데이터가 필요한 활성성분을 함유한 자외선차단제의 경우 "[이러한 자외선차단제가] [FD&amp;C법] 제201(p)(1)조에 따라 일반적으로 안전하고 효과적인 것으로 인정되었음을 보여주는 증거가 불충분하기 때문에 FD&amp;C법 제505G(b)(1)(C)(ii)조에 따라 GRASE가 아니라고 제안한다. 마지막으로, FDA는 1999년 최종 모노그래프에 열거된 활성성분에 대한 기존 안전성 데이터를 평가할 때 이러한 두 가지 성분(PABA 및 트롤아민 살리실레이트)과 관련된 위험이 이점보다 크다고 판단했다. 따라서 섹션 VI.</w:t>
      </w:r>
      <w:proofErr w:type="gramStart"/>
      <w:r w:rsidRPr="002C7F14">
        <w:rPr>
          <w:rFonts w:asciiTheme="minorEastAsia" w:eastAsiaTheme="minorEastAsia" w:hAnsiTheme="minorEastAsia" w:hint="eastAsia"/>
          <w:sz w:val="20"/>
          <w:szCs w:val="20"/>
          <w:lang w:eastAsia="ko-KR"/>
        </w:rPr>
        <w:t>C.ii</w:t>
      </w:r>
      <w:proofErr w:type="gramEnd"/>
      <w:r w:rsidRPr="002C7F14">
        <w:rPr>
          <w:rFonts w:asciiTheme="minorEastAsia" w:eastAsiaTheme="minorEastAsia" w:hAnsiTheme="minorEastAsia" w:hint="eastAsia"/>
          <w:sz w:val="20"/>
          <w:szCs w:val="20"/>
          <w:lang w:eastAsia="ko-KR"/>
        </w:rPr>
        <w:t xml:space="preserve">에서 자세히 논의된 바와 같이, FDA는 이 두 가지 성분을 함유한 자외선차단제가 관련 증거에 따르면 FD&amp;C법 제201(p)(1)조에 따라 일반적으로 안전하고 효과적인 것으로 인정되지 않았음을 나타내기 때문에 FD&amp;C법 제505G(b)(1)(C)(i)조에 따라 GRASE가 아니라고 제안하고 있다. </w:t>
      </w:r>
    </w:p>
    <w:p w14:paraId="7DABF1D4" w14:textId="4869604E"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0DA067C8" w14:textId="269A7C89" w:rsidR="00CB660F" w:rsidRPr="002C7F14" w:rsidRDefault="009320A4" w:rsidP="00A111F6">
      <w:pPr>
        <w:pStyle w:val="a8"/>
        <w:numPr>
          <w:ilvl w:val="0"/>
          <w:numId w:val="9"/>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일반 사항</w:t>
      </w:r>
    </w:p>
    <w:p w14:paraId="6B4D0AA2" w14:textId="77777777" w:rsidR="009320A4" w:rsidRPr="002C7F14" w:rsidRDefault="009320A4" w:rsidP="009320A4">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FDA의 OTC 의약품 규정은 OTC 의약품이 라벨링된 대로 사용하기 위해 GRASE라는 증거로 제출해야 하는 일반적인 유형의 안전성 정보 및 안전성을 판단하는 기준을 식별한다(연방규정 제21편 제330.10(a)조). 이 규정을 각 의약품에 적용할 때, FDA는 "지정, 권고 또는 제안된 사용 조건에서 의약품이 안전함을 보여주기 위해 합리적으로 적용 가능한 방법에 의한 적절한 시험"을 구성하는 것이 무엇인지를 결정하기 위해 과학적 전문지식을 사용한다(연방규정 제21편 제330.10(a)조). </w:t>
      </w:r>
    </w:p>
    <w:p w14:paraId="46F0E6B4" w14:textId="22CF6FFE"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32659CE8" w14:textId="09E371EB" w:rsidR="009320A4" w:rsidRPr="002C7F14" w:rsidRDefault="009320A4" w:rsidP="009320A4">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FDA는 SPF 값이 15 이상인 광범위 스펙트럼 자외선차단제가 다른 햇빛 차단 조치와 함께 지시된 대로 사용할 경우 햇빛으로 인한 피부암 및 조기 피부 노화 위험을 줄이는 데 기여할 수 있음을 인정한다. 그러나 공중보건을 보호하기 위해 FDA가 이러한 자외선차단제의 잠재적 이점 및 잠재적 위험 간 균형을 맞추는 것도 중요하다. OTC 자외선차단제 활성성분 및 완제 자외선차단제에 대한 적절한 안전 마진을 제공하는 것은 FDA 위험 평가의 핵심 요소이다. </w:t>
      </w:r>
      <w:r w:rsidRPr="002C7F14">
        <w:rPr>
          <w:rFonts w:asciiTheme="minorEastAsia" w:eastAsiaTheme="minorEastAsia" w:hAnsiTheme="minorEastAsia" w:hint="eastAsia"/>
          <w:i/>
          <w:iCs/>
          <w:sz w:val="20"/>
          <w:szCs w:val="20"/>
          <w:lang w:eastAsia="ko-KR"/>
        </w:rPr>
        <w:t>안전역</w:t>
      </w:r>
      <w:r w:rsidRPr="002C7F14">
        <w:rPr>
          <w:rFonts w:asciiTheme="minorEastAsia" w:eastAsiaTheme="minorEastAsia" w:hAnsiTheme="minorEastAsia" w:hint="eastAsia"/>
          <w:sz w:val="20"/>
          <w:szCs w:val="20"/>
          <w:lang w:eastAsia="ko-KR"/>
        </w:rPr>
        <w:t xml:space="preserve"> 계산은 최저 동물 NOAEL(무영향관찰용량)을 사용하여 인간 노출과 비교한다.</w:t>
      </w:r>
      <w:r w:rsidR="00BE5540" w:rsidRPr="002C7F14">
        <w:rPr>
          <w:rStyle w:val="a7"/>
          <w:rFonts w:asciiTheme="minorEastAsia" w:eastAsiaTheme="minorEastAsia" w:hAnsiTheme="minorEastAsia"/>
          <w:sz w:val="20"/>
          <w:szCs w:val="20"/>
          <w:lang w:eastAsia="ko-KR"/>
        </w:rPr>
        <w:footnoteReference w:id="24"/>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동물 연구가 항상 인간에게 미치는 영향을 예측하는 것은 아니기 때문에 인간에게 미치는 영향의 실제 역치는 시험된 종과 다를 수 있다(즉, 더 높거나 낮을 수 있다). 의약품에 대한 인간의 민감도는 종종 알려지지 않았다. 이를 감안하기 위해 FDA는 동물에서 관찰된 독성을 고려하여 계산된 안전역이 적절한지 여부를 결정한다.</w:t>
      </w:r>
    </w:p>
    <w:p w14:paraId="0B082CA2" w14:textId="53A4EFA8"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798AF1B2" w14:textId="4D0F0D0E" w:rsidR="00CB660F" w:rsidRPr="002C7F14" w:rsidRDefault="00BE5540" w:rsidP="00BE554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FDA는 OTC 자외선차단제 활성성분이 안전하다는 것을 적절히 입증하는 데 필요한 특정 시험 및 기타 데이터를 결정할 때 소비자가 OTC 자외선차단제를 사용하도록 의도된 상황(즉, 사용 조건)과 현재의 과학적 지식 및 평가 기술을 모두 고려한다. OTC 자외선차단제 활성성분의 임상적 안전성 평가에 대한 FDA의 접근방식은 만성 사용을 위한 국소 의약품의 안전성 평가에 대한 현재의 과학적 이해를 바탕으로 하며, 이에 따라 일반적으로 만성 사용 국소 의약품에 대한 NDA에 적용되는 안전성 데이터 요구사항(즉, 국소 안전성 연구(자극, 감작 및 광안전성); 생체이용률(흡수) 및 임상 연구에서 관찰된 이상사례 평가)에 부합한다.</w:t>
      </w:r>
      <w:r w:rsidRPr="002C7F14">
        <w:rPr>
          <w:rStyle w:val="a7"/>
          <w:rFonts w:asciiTheme="minorEastAsia" w:eastAsiaTheme="minorEastAsia" w:hAnsiTheme="minorEastAsia"/>
          <w:sz w:val="20"/>
          <w:szCs w:val="20"/>
          <w:lang w:eastAsia="ko-KR"/>
        </w:rPr>
        <w:footnoteReference w:id="25"/>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또한 이러한 성분이 함유된 자외선차단제의 상업적 시판 중 보고된 이상사례 평가 및 기타 시판 후 안전성 정보도 안전성과 관련이 있다.</w:t>
      </w:r>
    </w:p>
    <w:p w14:paraId="2A8BC932" w14:textId="4FB2556F"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39D81E0F" w14:textId="77777777" w:rsidR="00D978E8" w:rsidRPr="002C7F14" w:rsidRDefault="00D978E8" w:rsidP="00D978E8">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활성성분의 비임상적 안전성 평가 대한 FDA의 접근방식은 미국의 오랜 시판 역사를 고려한다. 포괄적인 비임상 약리 및 독성 안전성 시험 결과를 포함하는 만성 사용 국소 의약품 NDA에 대한 비임상 데이터 요구사항과 달리, 이 명령안의 비임상적 안전성 시험에 대한 접근방식은 주로 잠재적인 장기 부작용 또는 인체 사용에서 쉽게 감지되지 않는 영향(예: 발암성 및 생식독성)에 초점을 맞춘다. 관련 데이터가 호르몬 장애와 같은 다른 장기적 영향 우려가 있는 활성성분의 경우, 아래에 설명된 것 이상의 추가 시험이 권장될 수 있다.</w:t>
      </w:r>
    </w:p>
    <w:p w14:paraId="07846E1A" w14:textId="0199C856" w:rsidR="00CB660F" w:rsidRPr="002C7F14" w:rsidRDefault="00CB660F" w:rsidP="00EF791F">
      <w:pPr>
        <w:spacing w:line="264" w:lineRule="auto"/>
        <w:jc w:val="both"/>
        <w:rPr>
          <w:rFonts w:asciiTheme="minorEastAsia" w:eastAsiaTheme="minorEastAsia" w:hAnsiTheme="minorEastAsia" w:cs="맑은 고딕"/>
          <w:sz w:val="20"/>
          <w:szCs w:val="20"/>
          <w:lang w:eastAsia="ko-KR"/>
        </w:rPr>
      </w:pPr>
    </w:p>
    <w:p w14:paraId="3682C4D2" w14:textId="77777777" w:rsidR="00D978E8" w:rsidRPr="002C7F14" w:rsidRDefault="00D978E8" w:rsidP="00D978E8">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자외선차단제는 일반적으로 두 가지 이상의 활성성분으로 제형화되지만, 아래에 설명된 프레임워크는 하나의 활성성분을 포함하는 제형을 사용하여 시험이 수행된다고 전제한다. 일반적으로 특정 활성성분 조합에 대한 안전성 또는 효능 문제가 있을 수 있다는 데이터가 제시되지 않는 한, 자외선차단제에 사용하기 위해 GRASE로 밝혀진 활성성분은 자외선차단제에 사용하기 위해 GRASE인 다른 활성성분과 조합할 수 있을 것으로 예상된다. 활성성분(또는 활성성분 및 비활성성분)의 특정 조합에 대한 안전성 또는 효능 문제가 있을 수 있다는 데이터가 제시된 경우, 이러한 조합을 함유한 자외선차단제에 대한 긍정적인 GRASE 판단을 뒷받침하기 위해 추가 데이터가 필요할 수 있다.</w:t>
      </w:r>
    </w:p>
    <w:p w14:paraId="03A73A3A" w14:textId="41717DC6"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49515A09" w14:textId="77777777" w:rsidR="00D978E8" w:rsidRPr="002C7F14" w:rsidRDefault="00D978E8" w:rsidP="00D978E8">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다음 섹션은 FDA가 특정 활성성분이 자외선차단제에 사용하기 위해 GRASE인지 여부를 판단하는 데 필요할 것으로 예상하는 구체적인 안전성 데이터를 설명한다.</w:t>
      </w:r>
    </w:p>
    <w:p w14:paraId="39F2F70F" w14:textId="38FCCAEC"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55019CB8" w14:textId="0A3A805E" w:rsidR="00BE5540" w:rsidRPr="002C7F14" w:rsidRDefault="00D978E8" w:rsidP="00A111F6">
      <w:pPr>
        <w:pStyle w:val="a8"/>
        <w:numPr>
          <w:ilvl w:val="0"/>
          <w:numId w:val="9"/>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임상적 안전성 시험</w:t>
      </w:r>
    </w:p>
    <w:p w14:paraId="6B594EFA" w14:textId="193E6BBD" w:rsidR="00D978E8" w:rsidRPr="002C7F14" w:rsidRDefault="00D978E8"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인체 피부 안전성 연구</w:t>
      </w:r>
    </w:p>
    <w:p w14:paraId="5868FF39" w14:textId="77777777" w:rsidR="00F27E44" w:rsidRPr="002C7F14" w:rsidRDefault="00F27E44" w:rsidP="00F27E44">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적용 후 빛에 노출될 것으로 예상되는 국소 제품에 대한 인체 피부 안전성 연구는 일반적으로 두 가지 연구 세트, 즉 특정 빛 노출 없이 수행된 연구 및 UV 노출 후 반응을 평가하기 위해 수행된 연구(광안전성 연구)로 구성된다(FDA 2015b년). 이러한 연구는 일반적으로 피부 자극 패치 시험, 피부 감작 패치 시험, 피부 광독성 시험 및 피부 광알레르기성 시험으로 구성된다.</w:t>
      </w:r>
    </w:p>
    <w:p w14:paraId="4F1410B0" w14:textId="77777777" w:rsidR="00F27E44" w:rsidRPr="002C7F14" w:rsidRDefault="00F27E44" w:rsidP="00F27E44">
      <w:pPr>
        <w:spacing w:line="264" w:lineRule="auto"/>
        <w:jc w:val="both"/>
        <w:rPr>
          <w:rFonts w:asciiTheme="minorEastAsia" w:eastAsiaTheme="minorEastAsia" w:hAnsiTheme="minorEastAsia" w:cs="맑은 고딕"/>
          <w:sz w:val="20"/>
          <w:szCs w:val="20"/>
          <w:lang w:eastAsia="ko-KR"/>
        </w:rPr>
      </w:pPr>
    </w:p>
    <w:p w14:paraId="05B02A36" w14:textId="0B3A137C" w:rsidR="00BE5540" w:rsidRPr="002C7F14" w:rsidRDefault="00F27E44" w:rsidP="00F27E44">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시판된 자외선차단제는 일반적으로 활성성분 조합을 함유하고 제품 제형은 자주 바뀌기 때문에, 개별 활성성분 및 특정 제품과 관련하여 보고된 자극과 과민반응 이상사례 간 인과관계를 파악하기 어렵다. 따라서 FDA는 일반적으로 GRASE 판단 및 라벨링에 정보를 제공하기 위해 인체 피부 자극 연구, 인체 피부 감작 연구 및 인체 피부 광안전성 연구 데이터를 시판 후 이상사례 데이터와 함께 사용할 것으로 예상한다. 그럼에도 불구하고 일부 경우에는 사용 가능한 시판 후 안전성 정보의 엄격성에 따라 인체 피부 자극 연구, 인체 피부 감작 연구 및/또는 인체 피부 광안전성 연구를 생략하는 것이 합리적일 수 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예를 들어, FDA가 자외선차단제 활성성분에 대한 긍정적인 위험-이익 프로파일이 있지만 감작제로 알려져 있다는 결론을 내린 경우, 아래에 설명된 인체 피부 안전성 연구에서 생성된 데이터 없이도 이 위험을 해결하기 위해 안전성 라벨링을 개발할 수 있다(섹션 VI.C.iii.</w:t>
      </w:r>
      <w:proofErr w:type="gramStart"/>
      <w:r w:rsidRPr="002C7F14">
        <w:rPr>
          <w:rFonts w:asciiTheme="minorEastAsia" w:eastAsiaTheme="minorEastAsia" w:hAnsiTheme="minorEastAsia" w:hint="eastAsia"/>
          <w:sz w:val="20"/>
          <w:szCs w:val="20"/>
          <w:lang w:eastAsia="ko-KR"/>
        </w:rPr>
        <w:t>2.</w:t>
      </w:r>
      <w:proofErr w:type="gramEnd"/>
      <w:r w:rsidRPr="002C7F14">
        <w:rPr>
          <w:rFonts w:asciiTheme="minorEastAsia" w:eastAsiaTheme="minorEastAsia" w:hAnsiTheme="minorEastAsia" w:hint="eastAsia"/>
          <w:sz w:val="20"/>
          <w:szCs w:val="20"/>
          <w:lang w:eastAsia="ko-KR"/>
        </w:rPr>
        <w:t>I.v 참조).</w:t>
      </w:r>
    </w:p>
    <w:p w14:paraId="6488FE16" w14:textId="7688823B"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3E70055C" w14:textId="77777777" w:rsidR="00F27E44" w:rsidRPr="002C7F14" w:rsidRDefault="00F27E44" w:rsidP="00A111F6">
      <w:pPr>
        <w:pStyle w:val="30"/>
        <w:keepNext w:val="0"/>
        <w:numPr>
          <w:ilvl w:val="4"/>
          <w:numId w:val="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인체 피부 자극 및 감작 연구</w:t>
      </w:r>
    </w:p>
    <w:p w14:paraId="6A8A81BF" w14:textId="77777777" w:rsidR="00F27E44" w:rsidRPr="002C7F14" w:rsidRDefault="00F27E44" w:rsidP="00F27E44">
      <w:pPr>
        <w:pStyle w:val="a9"/>
        <w:spacing w:line="264" w:lineRule="auto"/>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반복 자극 패치 시험 또는 기타 관련 시험을 사용한 피부 자극 및 감작 연구는 자외선차단제와 같이 장기간 반복적으로 피부에 적용되는 국소 의약품의 안전성 평가 요소이다. 대규모 임상 시험에서 관찰될 수 있는 것보다 적은 피험자를 대상으로 국소 피부과 사례의 가능성을 감지하도록 설계된 이러한 시험은 종종 제안된 임상 용량보다 더 빈번한 및/또는 더 긴 기간 동안 제품을 적용한다. 피부 감작 연구에서는 시험 물질을 작은 패드(패치)에 바르고 피험자의 피부, 보통 등에 부착하여 해당 성분이 직접적인 피부 독성을 유발하는지 여부를 결정한다. 피부 감작 연구도 비슷하게 수행되지만, 알레르겐에 대한 사전 노출이 필요한 면역 매개 반응을 감지하도록 설계되었다.</w:t>
      </w:r>
    </w:p>
    <w:p w14:paraId="5EA068BB" w14:textId="77777777" w:rsidR="00F27E44" w:rsidRPr="002C7F14" w:rsidRDefault="00F27E44" w:rsidP="00F27E44">
      <w:pPr>
        <w:spacing w:line="264" w:lineRule="auto"/>
        <w:jc w:val="both"/>
        <w:rPr>
          <w:rFonts w:asciiTheme="minorEastAsia" w:eastAsiaTheme="minorEastAsia" w:hAnsiTheme="minorEastAsia" w:cs="맑은 고딕"/>
          <w:sz w:val="20"/>
          <w:szCs w:val="20"/>
          <w:lang w:eastAsia="ko-KR"/>
        </w:rPr>
      </w:pPr>
    </w:p>
    <w:p w14:paraId="4ADEC0CC" w14:textId="77777777" w:rsidR="00F27E44" w:rsidRPr="002C7F14" w:rsidRDefault="00F27E44" w:rsidP="00F27E44">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OTC 모노그래프 시스템에 따라 규제되는 비처방 자외선차단제는 아직 알려지지 않은 제형을 비롯하여 많은 제품 제형에 사용될 수 있다. 따라서 GRASE 판단을 하고자 하는 자외선차단제 활성물질을 최고 농도에서 평가하는 누적 자극 연구는 적절한 기제에 함유된 성분을 사용하고, 기제만 사용하며, 음성 및 양성 대조군을 둘 다 사용하여 수행해야 한다. 평가는 홍반, 부종 및 구진 반응 또는 피부 침식에 대한 점수를 포함해야 한다.</w:t>
      </w:r>
    </w:p>
    <w:p w14:paraId="5E973D68" w14:textId="77777777" w:rsidR="00F27E44" w:rsidRPr="002C7F14" w:rsidRDefault="00F27E44" w:rsidP="00F27E44">
      <w:pPr>
        <w:spacing w:line="264" w:lineRule="auto"/>
        <w:jc w:val="both"/>
        <w:rPr>
          <w:rFonts w:asciiTheme="minorEastAsia" w:eastAsiaTheme="minorEastAsia" w:hAnsiTheme="minorEastAsia" w:cs="맑은 고딕"/>
          <w:sz w:val="20"/>
          <w:szCs w:val="20"/>
          <w:lang w:eastAsia="ko-KR"/>
        </w:rPr>
      </w:pPr>
    </w:p>
    <w:p w14:paraId="6B1B9CD0" w14:textId="77777777" w:rsidR="00F27E44" w:rsidRPr="002C7F14" w:rsidRDefault="00F27E44" w:rsidP="00F27E44">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면역 매개 반응을 감지하기 위해 수행되는 피부 감작 연구는 (1) 유도 단계(3주 동안 매주 3회 적용), (2) 휴식 단계(10~14일 동안 제품을 적용하지 않음), (3) 시도 단계(48시간 동안 새로운 부위에 패치를 적용하고 거짓 양성을 배제하기 위한 확인용 재시도를 함)의 세 단계로 수행해야 한다.</w:t>
      </w:r>
    </w:p>
    <w:p w14:paraId="1D5BD632" w14:textId="77777777" w:rsidR="00F27E44" w:rsidRPr="002C7F14" w:rsidRDefault="00F27E44" w:rsidP="00F27E44">
      <w:pPr>
        <w:spacing w:line="264" w:lineRule="auto"/>
        <w:jc w:val="both"/>
        <w:rPr>
          <w:rFonts w:asciiTheme="minorEastAsia" w:eastAsiaTheme="minorEastAsia" w:hAnsiTheme="minorEastAsia" w:cs="맑은 고딕"/>
          <w:sz w:val="20"/>
          <w:szCs w:val="20"/>
          <w:lang w:eastAsia="ko-KR"/>
        </w:rPr>
      </w:pPr>
    </w:p>
    <w:p w14:paraId="6734EEBD" w14:textId="77777777" w:rsidR="00F27E44" w:rsidRPr="002C7F14" w:rsidRDefault="00F27E44" w:rsidP="00F27E44">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피부 자극 및 감작 연구를 따로 수행할 것을 권고하지만, 감작 평가를 위해 충분한 수의 피험자가 포함된 경우 동일한 연구에서 자극 및 감작 연구를 결합하는 것이 적절할 수 있다.</w:t>
      </w:r>
    </w:p>
    <w:p w14:paraId="74B7B9CD" w14:textId="77777777" w:rsidR="00F27E44" w:rsidRPr="002C7F14" w:rsidRDefault="00F27E44" w:rsidP="00F27E44">
      <w:pPr>
        <w:spacing w:line="264" w:lineRule="auto"/>
        <w:jc w:val="both"/>
        <w:rPr>
          <w:rFonts w:asciiTheme="minorEastAsia" w:eastAsiaTheme="minorEastAsia" w:hAnsiTheme="minorEastAsia" w:cs="맑은 고딕"/>
          <w:sz w:val="20"/>
          <w:szCs w:val="20"/>
          <w:lang w:eastAsia="ko-KR"/>
        </w:rPr>
      </w:pPr>
    </w:p>
    <w:p w14:paraId="475FD1F4" w14:textId="77777777" w:rsidR="00F27E44" w:rsidRPr="002C7F14" w:rsidRDefault="00F27E44" w:rsidP="00A111F6">
      <w:pPr>
        <w:pStyle w:val="30"/>
        <w:keepNext w:val="0"/>
        <w:numPr>
          <w:ilvl w:val="4"/>
          <w:numId w:val="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인체 광안전성 연구</w:t>
      </w:r>
    </w:p>
    <w:p w14:paraId="71C94B55" w14:textId="209E3C24" w:rsidR="00BE5540" w:rsidRPr="002C7F14" w:rsidRDefault="00F27E44" w:rsidP="00BD4CB1">
      <w:pPr>
        <w:pStyle w:val="a9"/>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국소적으로 적용되는 피부과 의약품은 UVA, UVB 또는 가시광선 스펙트럼에서 빛을 흡수하는 경우 광안전성을 시험해야 한다. 빛을 흡수하는 자외선차단제 활성성분의 광안전성 평가는 피부 광알레르기성 및 피부 광독성 시험으로 구성해야 한다. </w:t>
      </w:r>
      <w:r w:rsidRPr="002C7F14">
        <w:rPr>
          <w:rFonts w:asciiTheme="minorEastAsia" w:eastAsiaTheme="minorEastAsia" w:hAnsiTheme="minorEastAsia" w:hint="eastAsia"/>
          <w:i/>
          <w:iCs/>
          <w:sz w:val="20"/>
          <w:szCs w:val="20"/>
          <w:lang w:eastAsia="ko-KR"/>
        </w:rPr>
        <w:t>광알레르기</w:t>
      </w:r>
      <w:r w:rsidRPr="002C7F14">
        <w:rPr>
          <w:rFonts w:asciiTheme="minorEastAsia" w:eastAsiaTheme="minorEastAsia" w:hAnsiTheme="minorEastAsia" w:hint="eastAsia"/>
          <w:sz w:val="20"/>
          <w:szCs w:val="20"/>
          <w:lang w:eastAsia="ko-KR"/>
        </w:rPr>
        <w:t>는 광화학 반응 후 광생성물(예: 단백질 부가물) 형성에 의해 시작되는 화학물질에 대한 면역 매개 반응</w:t>
      </w:r>
      <w:r w:rsidR="00BD4CB1" w:rsidRPr="002C7F14">
        <w:rPr>
          <w:rFonts w:asciiTheme="minorEastAsia" w:eastAsiaTheme="minorEastAsia" w:hAnsiTheme="minorEastAsia" w:hint="eastAsia"/>
          <w:sz w:val="20"/>
          <w:szCs w:val="20"/>
          <w:lang w:eastAsia="ko-KR"/>
        </w:rPr>
        <w:t xml:space="preserve">이다. 위에서 설명한 피부 민감도 시험과 유사하게 광알레르기 시험은 홍반, 부종 및 수포 형성을 평가하기 위해 유도/휴식/시도/재시도의 다단계 설계를 사용한다. </w:t>
      </w:r>
      <w:r w:rsidR="00BD4CB1" w:rsidRPr="002C7F14">
        <w:rPr>
          <w:rFonts w:asciiTheme="minorEastAsia" w:eastAsiaTheme="minorEastAsia" w:hAnsiTheme="minorEastAsia" w:hint="eastAsia"/>
          <w:i/>
          <w:iCs/>
          <w:sz w:val="20"/>
          <w:szCs w:val="20"/>
          <w:lang w:eastAsia="ko-KR"/>
        </w:rPr>
        <w:t>광독성</w:t>
      </w:r>
      <w:r w:rsidR="00BD4CB1" w:rsidRPr="002C7F14">
        <w:rPr>
          <w:rFonts w:asciiTheme="minorEastAsia" w:eastAsiaTheme="minorEastAsia" w:hAnsiTheme="minorEastAsia" w:hint="eastAsia"/>
          <w:sz w:val="20"/>
          <w:szCs w:val="20"/>
          <w:lang w:eastAsia="ko-KR"/>
        </w:rPr>
        <w:t>(또는 광자극)은 광반응성 화학물질에 대한 급성 광유도 조직 반응이다. 광독성 시험은 일반적으로 24시간 동안 시험 패치, 기제 패치 및 가짜 패치를 적용한 다음 시험 영역을 자외선에 노출시키는 것을 포함한다. 빛이 조사되지 않은 두 번째 세트의 패치 적용 영역은 대조군 역할을 한다. FDA는 GRASE 결과를 뒷받침하기 위해 빛을 흡수하는 자외선차단제 활성성분에 대한 광안전성 연구가 기제만 사용하고 음성 대조군과 함께 사용하는 방식으로 적절한 기제에서 GRASE 판단을 하고자 하는 활성물질을 최고 농도로 사용하여 수행되어야 한다고 예상한다.</w:t>
      </w:r>
    </w:p>
    <w:p w14:paraId="29A11451" w14:textId="239535CE"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2E3DD32A" w14:textId="1D2435B9" w:rsidR="00BE5540" w:rsidRPr="002C7F14" w:rsidRDefault="00BD4CB1"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인체 흡수 연구/최대 사용 시험</w:t>
      </w:r>
    </w:p>
    <w:p w14:paraId="5752165E" w14:textId="77777777" w:rsidR="00BD4CB1" w:rsidRPr="002C7F14" w:rsidRDefault="00BD4CB1" w:rsidP="00BD4CB1">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비처방 자외선차단제는 국소적으로 적용되므로, 피부 적용이 활성성분의 피부 침투 및 전신 노출을 초래하는지, 그렇다면 어느 정도인지가 중요한 안전성 고려사항이다. 이 정보는 잠재적인 안전 문제를 식별하는 데 도움이 되며, 활성성분이 자외선차단제에 사용하기 위해 GRASE인 범위 내에서 적절한 안전역이 존재하는지 여부를 판단하는 데 도움이 된다.</w:t>
      </w:r>
    </w:p>
    <w:p w14:paraId="2584B2E8" w14:textId="6ED03BC1"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346D4993" w14:textId="77777777" w:rsidR="00BD4CB1" w:rsidRPr="002C7F14" w:rsidRDefault="00BD4CB1" w:rsidP="00BD4CB1">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국소 의약품 침투의 주요 장벽은 다층적이고 지질이 풍부한 각질층이다. 의약품의 각질층 통과는 의약품의 물리화학적 특성, 분자량 및 기제/제형 특성을 비롯한 여러 요인의 영향을 받는다. 기제/제형 특성은 기제 선택이 의약품의 투과 가능성에 현저한 영향을 미칠 수 있기 때문에 특히 중요하다. 효과는 폐쇄성 기제/제형에 의한 각질층의 단순 수화에서 각질층 지질에 대한 용매 효과에 의한 직접 투과 강화에 이르기까지 다양할 수 있다. 피부를 통해 흡수되는 제품은 전신 부작용을 일으킬 가능성이 있어 안전성 평가에 영향을 미친다. 자외선차단제는 피부 표면에서 작용하도록 설계되었기 때문에, 전신 흡수도 효능을 낮춰 효능 평가에 영향을 미칠 수 있다. 이러한 고려사항은 궁극적으로 특정 활성물질을 함유한 OTC 자외선차단제가 GRASE인지 여부를 판정하기 위해 FDA가 사용하는 위험-이익 계산에 영향을 미친다.</w:t>
      </w:r>
    </w:p>
    <w:p w14:paraId="45915446" w14:textId="735AD054"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27D42F03" w14:textId="77777777" w:rsidR="00BD4CB1" w:rsidRPr="002C7F14" w:rsidRDefault="00BD4CB1" w:rsidP="00BD4CB1">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5603713D" w14:textId="358089BA" w:rsidR="00BD4CB1" w:rsidRPr="002C7F14" w:rsidRDefault="00BD4CB1" w:rsidP="00BD4CB1">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1990년대 중반 이후 국소 제품 NDA는 임상 약리/생체이용률 평가의 일부로 최대 사용 시험(MUsT) 프로그램을 포함했다. MUsT 프로그램은 표준 약물동태 평가(예: C</w:t>
      </w:r>
      <w:r w:rsidRPr="002C7F14">
        <w:rPr>
          <w:rFonts w:asciiTheme="minorEastAsia" w:eastAsiaTheme="minorEastAsia" w:hAnsiTheme="minorEastAsia" w:hint="eastAsia"/>
          <w:sz w:val="20"/>
          <w:szCs w:val="20"/>
          <w:vertAlign w:val="subscript"/>
          <w:lang w:eastAsia="ko-KR"/>
        </w:rPr>
        <w:t>max</w:t>
      </w:r>
      <w:r w:rsidRPr="002C7F14">
        <w:rPr>
          <w:rFonts w:asciiTheme="minorEastAsia" w:eastAsiaTheme="minorEastAsia" w:hAnsiTheme="minorEastAsia" w:hint="eastAsia"/>
          <w:sz w:val="20"/>
          <w:szCs w:val="20"/>
          <w:lang w:eastAsia="ko-KR"/>
        </w:rPr>
        <w:t>, T</w:t>
      </w:r>
      <w:r w:rsidRPr="002C7F14">
        <w:rPr>
          <w:rFonts w:asciiTheme="minorEastAsia" w:eastAsiaTheme="minorEastAsia" w:hAnsiTheme="minorEastAsia" w:hint="eastAsia"/>
          <w:sz w:val="20"/>
          <w:szCs w:val="20"/>
          <w:vertAlign w:val="subscript"/>
          <w:lang w:eastAsia="ko-KR"/>
        </w:rPr>
        <w:t>max</w:t>
      </w:r>
      <w:r w:rsidRPr="002C7F14">
        <w:rPr>
          <w:rStyle w:val="a7"/>
          <w:rFonts w:asciiTheme="minorEastAsia" w:eastAsiaTheme="minorEastAsia" w:hAnsiTheme="minorEastAsia"/>
          <w:sz w:val="20"/>
          <w:szCs w:val="20"/>
          <w:lang w:eastAsia="ko-KR"/>
        </w:rPr>
        <w:footnoteReference w:id="26"/>
      </w:r>
      <w:r w:rsidRPr="002C7F14">
        <w:rPr>
          <w:rFonts w:asciiTheme="minorEastAsia" w:eastAsiaTheme="minorEastAsia" w:hAnsiTheme="minorEastAsia" w:hint="eastAsia"/>
          <w:sz w:val="20"/>
          <w:szCs w:val="20"/>
          <w:lang w:eastAsia="ko-KR"/>
        </w:rPr>
        <w:t xml:space="preserve">, 곡선 아래 면적, 반감기, 청소율 및 분포 용적)를 통해 혈액 흡수에 대한 </w:t>
      </w:r>
      <w:r w:rsidRPr="002C7F14">
        <w:rPr>
          <w:rFonts w:asciiTheme="minorEastAsia" w:eastAsiaTheme="minorEastAsia" w:hAnsiTheme="minorEastAsia" w:hint="eastAsia"/>
          <w:i/>
          <w:iCs/>
          <w:sz w:val="20"/>
          <w:szCs w:val="20"/>
          <w:lang w:eastAsia="ko-KR"/>
        </w:rPr>
        <w:t>최대 사용</w:t>
      </w:r>
      <w:r w:rsidRPr="002C7F14">
        <w:rPr>
          <w:rFonts w:asciiTheme="minorEastAsia" w:eastAsiaTheme="minorEastAsia" w:hAnsiTheme="minorEastAsia" w:hint="eastAsia"/>
          <w:sz w:val="20"/>
          <w:szCs w:val="20"/>
          <w:lang w:eastAsia="ko-KR"/>
        </w:rPr>
        <w:t xml:space="preserve"> 효과를 포착하도록 설계되었다(MUsT 프로그램 수행에 대한 자세한 내용은 Bashaw외 공저 2015년을 참조한다). 국소 제품 NDA의 경우, MUsT 프로그램은 일반적으로 피부 손상을 특징으로 하는 관심 질환이 있는 피험자를 대상으로 수행된다. 손상된 피부가 치료 중인 질환의 특징이 아니 거나 국소 제품이 질병 예방을 위한 것인 경우(예: 자외선차단제), 국소 제품 NDA에 대한 MUsT 프로그램은 건강한 정상 피부를 가진 피험자를 대상으로 실시해야 한다. 국소 제품 NDA에 대한 MUsT 프로그램은 허가를 받고자 하는 특정 제품 제형을 3상 임상 시험에서 연구되고 라벨링을 위해 제안된 표면적 침범의 상한에 적용하여 실시한다. 예를 들어, 제안된 여드름 제품 라벨이 제품을 신체 표면적의 최대 30%까지 사용할 수 있도록 허용한 경우, 이 범위가 MUsT 프로그램에서 평가되는 적용 범위가 된다.</w:t>
      </w:r>
    </w:p>
    <w:p w14:paraId="7DF70A9E" w14:textId="77777777" w:rsidR="00BE5540" w:rsidRPr="002C7F14" w:rsidRDefault="00BE5540" w:rsidP="00EF791F">
      <w:pPr>
        <w:spacing w:line="264" w:lineRule="auto"/>
        <w:jc w:val="both"/>
        <w:rPr>
          <w:rFonts w:asciiTheme="minorEastAsia" w:eastAsiaTheme="minorEastAsia" w:hAnsiTheme="minorEastAsia" w:cs="맑은 고딕"/>
          <w:sz w:val="20"/>
          <w:szCs w:val="20"/>
          <w:lang w:eastAsia="ko-KR"/>
        </w:rPr>
      </w:pPr>
    </w:p>
    <w:p w14:paraId="2584F986" w14:textId="337E5D86" w:rsidR="00B33A77" w:rsidRPr="002C7F14" w:rsidRDefault="00B33A77" w:rsidP="00B33A77">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대부분의 자외선차단제 활성성분에 대한 적절한 안전성 평가를 지원하기 위해서는 MUsT 프로그램의 데이터가 필요할 것으로 예상한다(FDA 2014b년). OTC 모노그래프 시스템에 따라 규제되는 자외선차단제는 다양한 제형에서 활성성분을 포함할 수 있으므로, FDA는 자외선차단제 활성성분을 유일한 활성성분으로 함유한 최소 4가지 제형을 사용하여 최대 사용 조건에서 MUsT 프로그램을 수행할 것을 권고한다.</w:t>
      </w:r>
      <w:r w:rsidRPr="002C7F14">
        <w:rPr>
          <w:rStyle w:val="a7"/>
          <w:rFonts w:asciiTheme="minorEastAsia" w:eastAsiaTheme="minorEastAsia" w:hAnsiTheme="minorEastAsia"/>
          <w:sz w:val="20"/>
          <w:szCs w:val="20"/>
          <w:lang w:eastAsia="ko-KR"/>
        </w:rPr>
        <w:footnoteReference w:id="27"/>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이러한 제형은 실제로 시판된 제형을 대표하고 생체 내 흡수율이 가장 높을 것으로 예상되는 자외선차단제 국소 제품에 적합한 기제/제형 시스템(예: 효율적으로 사용할 수 있고 분산성이 좋은 시스템)을 사용하여 준비해야 한다. 인체 사체 피부 투과 시스템(예: 정적 셀 또는 수직 확산 셀)(Bassani외 공저 2017년; 미국약전 2017년)을 사용한 시험관 내 시험 결과를 비롯하여 선택된 제형에 대한 정당한 근거를 연구 프로토콜에 포함시켜야 한다. 프로토콜은 다른 사람들이 제형 및 제조 공정을 재현할 수 있는 충분한 세부정보를 포함해야 한다.</w:t>
      </w:r>
      <w:r w:rsidRPr="002C7F14">
        <w:rPr>
          <w:rStyle w:val="a7"/>
          <w:rFonts w:asciiTheme="minorEastAsia" w:eastAsiaTheme="minorEastAsia" w:hAnsiTheme="minorEastAsia"/>
          <w:sz w:val="20"/>
          <w:szCs w:val="20"/>
          <w:lang w:eastAsia="ko-KR"/>
        </w:rPr>
        <w:footnoteReference w:id="28"/>
      </w:r>
      <w:r w:rsidRPr="002C7F14">
        <w:rPr>
          <w:rFonts w:asciiTheme="minorEastAsia" w:eastAsiaTheme="minorEastAsia" w:hAnsiTheme="minorEastAsia"/>
          <w:sz w:val="20"/>
          <w:szCs w:val="20"/>
          <w:lang w:eastAsia="ko-KR"/>
        </w:rPr>
        <w:t xml:space="preserve"> </w:t>
      </w:r>
    </w:p>
    <w:p w14:paraId="12E7631B" w14:textId="69ECDE6D" w:rsidR="003F14F5" w:rsidRPr="002C7F14" w:rsidRDefault="003F14F5" w:rsidP="00EF791F">
      <w:pPr>
        <w:spacing w:line="264" w:lineRule="auto"/>
        <w:jc w:val="both"/>
        <w:rPr>
          <w:rFonts w:asciiTheme="minorEastAsia" w:eastAsiaTheme="minorEastAsia" w:hAnsiTheme="minorEastAsia" w:cs="맑은 고딕"/>
          <w:sz w:val="20"/>
          <w:szCs w:val="20"/>
          <w:lang w:eastAsia="ko-KR"/>
        </w:rPr>
      </w:pPr>
    </w:p>
    <w:p w14:paraId="3F1DE1A6" w14:textId="15B9ABAE" w:rsidR="00B33A77" w:rsidRPr="002C7F14" w:rsidRDefault="00B33A77" w:rsidP="00B33A77">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여러 제형을 사용하면 관심 있는 자외선차단제 활성성분의 전체 흡수 가능성을 파악하는 데 도움이 될 것으로 예상한다. MUsT 프로그램은 GRASE 판단을 하고자 하는 성분의 최고 농동에서 건강한 정상 피부</w:t>
      </w:r>
      <w:r w:rsidRPr="002C7F14">
        <w:rPr>
          <w:rStyle w:val="a7"/>
          <w:rFonts w:asciiTheme="minorEastAsia" w:eastAsiaTheme="minorEastAsia" w:hAnsiTheme="minorEastAsia"/>
          <w:sz w:val="20"/>
          <w:szCs w:val="20"/>
          <w:lang w:eastAsia="ko-KR"/>
        </w:rPr>
        <w:footnoteReference w:id="29"/>
      </w:r>
      <w:r w:rsidRPr="002C7F14">
        <w:rPr>
          <w:rFonts w:asciiTheme="minorEastAsia" w:eastAsiaTheme="minorEastAsia" w:hAnsiTheme="minorEastAsia" w:hint="eastAsia"/>
          <w:sz w:val="20"/>
          <w:szCs w:val="20"/>
          <w:lang w:eastAsia="ko-KR"/>
        </w:rPr>
        <w:t>를 가진 피험자를 대상으로 수행해야 한다. 모든 노출된 피부에 권고된 자외선차단제 사용을 기준으로 노출된 면적은 신체 표면적의 최소 75%를 포함해야 한다. 그런 다음 체내 흡수율이 가장 높은 제형의 데이터를 사용하여 안전역을 결정한다.</w:t>
      </w:r>
      <w:r w:rsidRPr="002C7F14">
        <w:rPr>
          <w:rFonts w:asciiTheme="minorEastAsia" w:eastAsiaTheme="minorEastAsia" w:hAnsiTheme="minorEastAsia"/>
          <w:sz w:val="20"/>
          <w:szCs w:val="20"/>
          <w:lang w:eastAsia="ko-KR"/>
        </w:rPr>
        <w:br w:type="page"/>
      </w:r>
    </w:p>
    <w:p w14:paraId="46A1E5B9" w14:textId="77777777" w:rsidR="00A85CDD" w:rsidRPr="002C7F14" w:rsidRDefault="00A85CDD" w:rsidP="00A85CDD">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MUsT 프로그램에서 사용된 분석법은 현행 우수실험실관리기준(연방규정 제21편 제58부)에 따라 적절하게 검증해야 한다. 또한 생체시료분석법 검증에 대한 최신 FDA 지침은 </w:t>
      </w:r>
      <w:hyperlink r:id="rId10">
        <w:r w:rsidRPr="002C7F14">
          <w:rPr>
            <w:rFonts w:asciiTheme="minorEastAsia" w:eastAsiaTheme="minorEastAsia" w:hAnsiTheme="minorEastAsia" w:hint="eastAsia"/>
            <w:color w:val="0000FF"/>
            <w:sz w:val="20"/>
            <w:szCs w:val="20"/>
            <w:u w:val="single" w:color="0000FF"/>
            <w:lang w:eastAsia="ko-KR"/>
          </w:rPr>
          <w:t>https://www.fda.gov/RegulatoryInformation/Guidances/default.htm</w:t>
        </w:r>
      </w:hyperlink>
      <w:r w:rsidRPr="002C7F14">
        <w:rPr>
          <w:rFonts w:asciiTheme="minorEastAsia" w:eastAsiaTheme="minorEastAsia" w:hAnsiTheme="minorEastAsia" w:hint="eastAsia"/>
          <w:sz w:val="20"/>
          <w:szCs w:val="20"/>
          <w:lang w:eastAsia="ko-KR"/>
        </w:rPr>
        <w:t>에서 검색하여 확인할 수 있다. 분석법의 정량한계-검출한계는 관심 화합물에 대한 0.5 나노그램(ng)/밀리리터(mL) 농도 검출에 대한 신뢰성을 보장하는 신호 대 잡음비를 허용할 만큼 충분히 낮아야 한다. 즉, 자외선차단제 활성성분의 경우 FDA는 0.5 ng/mL 농도가 검출된 농도 또는 농도 부족에 대한 신뢰성을 보장하는 신호 대 잡음비를 허용할 만큼 분석법의 정량한계-검출한계보다 충분히 높을 것으로 예상한다.</w:t>
      </w:r>
    </w:p>
    <w:p w14:paraId="0EFBF2BA" w14:textId="77777777" w:rsidR="00BD4CB1" w:rsidRPr="002C7F14" w:rsidRDefault="00BD4CB1" w:rsidP="00B33A77">
      <w:pPr>
        <w:spacing w:line="264" w:lineRule="auto"/>
        <w:jc w:val="both"/>
        <w:rPr>
          <w:rFonts w:asciiTheme="minorEastAsia" w:eastAsiaTheme="minorEastAsia" w:hAnsiTheme="minorEastAsia" w:cs="맑은 고딕"/>
          <w:sz w:val="20"/>
          <w:szCs w:val="20"/>
          <w:lang w:eastAsia="ko-KR"/>
        </w:rPr>
      </w:pPr>
    </w:p>
    <w:p w14:paraId="165795DD" w14:textId="2F7765DF" w:rsidR="00A85CDD" w:rsidRPr="002C7F14" w:rsidRDefault="00A85CDD" w:rsidP="00A85CDD">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MUsT 프로그램을 설계할 때 중요한 고려사항은 성분의 최대 침투가 발생하도록 보장하고 성분이 검출될 가능성을 최적화기 위해 항정상태 수준에 도달할 수 있는 기간 동안 시험을 포함해야 한다는 것이다. 따라서 자외선차단제 활성성분의 경우 FDA는 단일 적용 연구가 부적절할 것으로 예상된다. MUsT 프로그램의 피험자는 노출 범위 상한에서 강화된 데이터세트를 나타내므로, 연구의 정기적으로 예정된 신체 검사에서 안전성 관련 데이터(예: 활력징후, 이상사례)도 수집해야 한다. 시험을 시작하기 전에 MUsT 프로토콜에 대해 FDA와 협의할 것을 강력히 권장한다.</w:t>
      </w:r>
    </w:p>
    <w:p w14:paraId="103A3DFE" w14:textId="2568F7D7" w:rsidR="00BD4CB1" w:rsidRPr="002C7F14" w:rsidRDefault="00BD4CB1" w:rsidP="00EF791F">
      <w:pPr>
        <w:spacing w:line="264" w:lineRule="auto"/>
        <w:jc w:val="both"/>
        <w:rPr>
          <w:rFonts w:asciiTheme="minorEastAsia" w:eastAsiaTheme="minorEastAsia" w:hAnsiTheme="minorEastAsia" w:cs="맑은 고딕"/>
          <w:sz w:val="20"/>
          <w:szCs w:val="20"/>
          <w:lang w:eastAsia="ko-KR"/>
        </w:rPr>
      </w:pPr>
    </w:p>
    <w:p w14:paraId="7F4D7382" w14:textId="77777777" w:rsidR="00A85CDD" w:rsidRPr="002C7F14" w:rsidRDefault="00A85CDD" w:rsidP="00A85CDD">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마지막으로, 섹션 VI.C.4에서 더 자세히 논의된 바와 같이, 자외선차단제 활성성분이 자외선차단제에 사용하기 위해 GRASE로 판단된 경우, 자외선차단제 모노그래프는 확정될 때 해당 활성성분을 함유한 미래의 자외선차단제가 GRASE이고 부정 표시되지 않는 조건을 명시해야 한다. 이러한 조건으로 FDA는 경피 흡수 가능성 및 안전성에 미치는 영향을 다루기 위해 특정 최종 제형 시험을 고려하고 있다. FDA는 MUsT 프로그램에서 체내 흡수가 가장 높은 제형이 해당 활성성분을 포함하는 각 최종 자외선차단제 제형의 향후 시험관 내 인체 사체 피부 투과 시스템 시험(예: 정적 또는 수직 확산 셀)을 위한 표준 대조 제형으로 지정하기에 적합할 것으로 예상한다. 이러한 시험이 최종 자외선차단제 모노그래프의 조건으로 포함되고, 최종 제품 제형에서 자외선차단제 활성성분의 시험관 내 투과율이 표준 대조 제형의 시험관 내 시험 값 이하인 경우, FDA는 이전에 계산된 안전역이 최종 제형의 안전성을 뒷받침하기에 충분한 것으로 간주될 것으로 예상한다.</w:t>
      </w:r>
    </w:p>
    <w:p w14:paraId="46F8C048" w14:textId="4FF56771" w:rsidR="00BD4CB1" w:rsidRPr="002C7F14" w:rsidRDefault="00BD4CB1" w:rsidP="00EF791F">
      <w:pPr>
        <w:spacing w:line="264" w:lineRule="auto"/>
        <w:jc w:val="both"/>
        <w:rPr>
          <w:rFonts w:asciiTheme="minorEastAsia" w:eastAsiaTheme="minorEastAsia" w:hAnsiTheme="minorEastAsia" w:cs="맑은 고딕"/>
          <w:sz w:val="20"/>
          <w:szCs w:val="20"/>
          <w:lang w:eastAsia="ko-KR"/>
        </w:rPr>
      </w:pPr>
    </w:p>
    <w:p w14:paraId="148E395D" w14:textId="1E10219F" w:rsidR="00BD4CB1" w:rsidRPr="002C7F14" w:rsidRDefault="00A85CDD"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소아 관련 고려사항</w:t>
      </w:r>
    </w:p>
    <w:p w14:paraId="12FAD0E9" w14:textId="40CBD98E" w:rsidR="00BD4CB1" w:rsidRPr="002C7F14" w:rsidRDefault="00A85CDD" w:rsidP="00A85CDD">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소아는 성인보다 피부 표면적 대 체용적 비율이 더 크기 때문에 국소 적용 의약품에 대한 소아의 전신 노출이 증가할 수 있다. 또한 성장하는 소아는 의약품 노출로 인한 해로운 발달 영향을 경험할 가능성이 더 크다.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(비임상 결과 및 인체 MUsT 프로그램에 기초하여) 활성성분에 대해 계산된 안전역이 비교적 작은 경우, FDA는 시판된 활성성분 함유 제품에 대한 안전역이 소아 인구에 대한 허용 범위 내에 있도록 보장하기 위해 소아를 대상으로 한 자외선차단제 활성성분 MUsT 프로그램 또는 기타 연구가 필요한지 여부를 결정하기 위해 과학적 판단을 내릴 것이다.</w:t>
      </w:r>
    </w:p>
    <w:p w14:paraId="51AAD1C6" w14:textId="213E8341" w:rsidR="00BD4CB1" w:rsidRPr="002C7F14" w:rsidRDefault="00BD4CB1" w:rsidP="00EF791F">
      <w:pPr>
        <w:spacing w:line="264" w:lineRule="auto"/>
        <w:jc w:val="both"/>
        <w:rPr>
          <w:rFonts w:asciiTheme="minorEastAsia" w:eastAsiaTheme="minorEastAsia" w:hAnsiTheme="minorEastAsia" w:cs="맑은 고딕"/>
          <w:sz w:val="20"/>
          <w:szCs w:val="20"/>
          <w:lang w:eastAsia="ko-KR"/>
        </w:rPr>
      </w:pPr>
    </w:p>
    <w:p w14:paraId="1F760413" w14:textId="77777777" w:rsidR="00DC5582" w:rsidRPr="002C7F14" w:rsidRDefault="00DC5582" w:rsidP="00DC5582">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763E24C9" w14:textId="0F3C82E3" w:rsidR="00BD4CB1" w:rsidRPr="002C7F14" w:rsidRDefault="00A85CDD" w:rsidP="00A111F6">
      <w:pPr>
        <w:pStyle w:val="a8"/>
        <w:numPr>
          <w:ilvl w:val="0"/>
          <w:numId w:val="9"/>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비임상 안전성 시험</w:t>
      </w:r>
    </w:p>
    <w:p w14:paraId="70034E21" w14:textId="77616624" w:rsidR="00BD4CB1" w:rsidRPr="002C7F14" w:rsidRDefault="00A85CDD"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발암성 연구: 피부 및 전신</w:t>
      </w:r>
    </w:p>
    <w:p w14:paraId="2D82CAB1" w14:textId="3270E705" w:rsidR="00BD4CB1" w:rsidRPr="002C7F14" w:rsidRDefault="00DC5582" w:rsidP="00DC5582">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FDA는 일반적으로 최소 6개월 이상의 임상적 사용(간헐적 또는 지속적 사용)이 예상되는 모든 의약품에 대해 발암성 연구를 권고한다(FDA 1996년). 동물 발암성 연구는 관찰된 종양 유형, 종양이 발생하는 노출 수준, 부작용이 발생하지 않는 최고 노출 수준(NOAEL)을 식별하여 인간에게 자외선차단제 활성성분을 사용하는 것과 관련된 잠재적 종양 위험을 특성화하는 데도 도움이 된다. 앞서 언급했듯이, FDA는 활성성분이 함유된 자외선차단제에 대한 인간 노출에 대한 안전역을 결정하는 데 NOAEL을 사용할 계획이다. 발암 가능성을 감지하는 것 외에도, 동물 발암성 연구는 자외선차단제 활성성분과 관련될 수 있는 다른 전신 또는 장기 독성을 식별하는 데도 도움이 될 수 있다.</w:t>
      </w:r>
    </w:p>
    <w:p w14:paraId="5113D504" w14:textId="00DFE8C0" w:rsidR="00BD4CB1" w:rsidRPr="002C7F14" w:rsidRDefault="00BD4CB1" w:rsidP="00EF791F">
      <w:pPr>
        <w:spacing w:line="264" w:lineRule="auto"/>
        <w:jc w:val="both"/>
        <w:rPr>
          <w:rFonts w:asciiTheme="minorEastAsia" w:eastAsiaTheme="minorEastAsia" w:hAnsiTheme="minorEastAsia" w:cs="맑은 고딕"/>
          <w:sz w:val="20"/>
          <w:szCs w:val="20"/>
          <w:lang w:eastAsia="ko-KR"/>
        </w:rPr>
      </w:pPr>
    </w:p>
    <w:p w14:paraId="28F0CF9D" w14:textId="4330E7B8" w:rsidR="00BD4CB1" w:rsidRPr="002C7F14" w:rsidRDefault="00DC5582" w:rsidP="00DC5582">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이에 따라 FDA는 활성성분이 피부 종양 발달에 영향을 미칠 수 있는 살아있는 피부층에 도달하지 않는 것으로 입증된 경우를 제외하고 활성성분에 대한 GRASE 결과를 뒷받침하기 위해 2년 동안 생쥐 또는 쥐의 피부에 시험물질을 적용하는 피부 발암성 연구를 수행할 필요가 있다고 예상한다. 또한 FDA는 인간 생체이용률 데이터를 통해 특정 제형의 피부 적용이 활성성분 또는 관련 화합물(대사산물 포함)의 피부 침투 또는 전신 노출을 초래하는 것으로 나타난 경우 전신 노출 영향을 연구하는 것이 중요하다고 생각한다. 따라서 생체이용률 데이터에서 전신 노출이 관찰되었거나 비임상 및 임상 연구(적절하게 수행된 독성학 프로그램 포함)에서 활성성분 또는 대사산물을 비롯하여 구조적으로 유사한 화합물에 대한 다른 안전성 신호가 발견된 경우, 자외선차단제 활성성분의 안전성을 뒷받침하기 위해 전신 노출을 유발하는 경로에 의한 두 번째 발암성 연구도 필요할 것으로 예상한다.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이러한 연구는 2년 연구 또는 더 짧은(보통 6개월) 대체 발암성 모델이 될 수 있으며, 피부 발암성 연구에 사용된 종과 다른 종을 대상으로 수행해야 한다. FDA는 대체 형질전환 발암성 연구(예: TgRasH2 생쥐)에서 발암성 신호가 없는 것은 자외선차단제 활성성분의 안전성을 뒷받침할 가능성이 높다고 언급한다. 그러나 이러한 연구에서 발암성 신호가 관찰된 경우, 이 연구로는 안전역을 계산할 근거가 없기 때문에 자외선차단제 활성성분의 안전성을 뒷받침하기 위해 이 연구를 사용할 수 없다(Jacobs 및 Brown 2015년). 경로에 관계없이 모든 발암성 연구는 전체 조직 패널을 평가해야 한다.</w:t>
      </w:r>
      <w:r w:rsidRPr="002C7F14">
        <w:rPr>
          <w:rStyle w:val="a7"/>
          <w:rFonts w:asciiTheme="minorEastAsia" w:eastAsiaTheme="minorEastAsia" w:hAnsiTheme="minorEastAsia"/>
          <w:sz w:val="20"/>
          <w:szCs w:val="20"/>
          <w:lang w:eastAsia="ko-KR"/>
        </w:rPr>
        <w:footnoteReference w:id="30"/>
      </w:r>
      <w:r w:rsidRPr="002C7F14">
        <w:rPr>
          <w:rFonts w:asciiTheme="minorEastAsia" w:eastAsiaTheme="minorEastAsia" w:hAnsiTheme="minorEastAsia" w:cs="맑은 고딕"/>
          <w:sz w:val="20"/>
          <w:szCs w:val="20"/>
          <w:lang w:eastAsia="ko-KR"/>
        </w:rPr>
        <w:t xml:space="preserve"> </w:t>
      </w:r>
    </w:p>
    <w:p w14:paraId="3A998BEC" w14:textId="2F99B4DA" w:rsidR="00BD4CB1" w:rsidRPr="002C7F14" w:rsidRDefault="00BD4CB1" w:rsidP="00EF791F">
      <w:pPr>
        <w:spacing w:line="264" w:lineRule="auto"/>
        <w:jc w:val="both"/>
        <w:rPr>
          <w:rFonts w:asciiTheme="minorEastAsia" w:eastAsiaTheme="minorEastAsia" w:hAnsiTheme="minorEastAsia" w:cs="맑은 고딕"/>
          <w:sz w:val="20"/>
          <w:szCs w:val="20"/>
          <w:lang w:eastAsia="ko-KR"/>
        </w:rPr>
      </w:pPr>
    </w:p>
    <w:p w14:paraId="5817FFDA" w14:textId="42248C78"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적절하게 수행된 인체 약물동태 MUsT 프로그램이 0.5 ng/mL 미만의 항정상태 혈중 농도로 이어지고 적절하게 수행된 독성 프로그램이 더 낮은 수준에서 부작용이 발생할 가능성이 있는 활성성분 또는 대사산물을 비롯하여 알려진 구조적으로 유사한 화합물의 다른 안전성 신호를 나타내지 않은 경우, 자외선차단제 활성성분의 GRASE 판단을 뒷받침하기 위한 전신 발암성 연구는 필요하지 않을 것으로 예상된다. 역치 0.5 ng/mL는 단일 용량 후 알려지지 않은 화합물의 발암 위험이 1/100,000 미만이 되는 최고 혈장 수준에 근접할 것이라는 평가에 근거한다. 이 역치값은 독성학적 역치 개념과 일치한다.</w:t>
      </w:r>
      <w:r w:rsidRPr="002C7F14">
        <w:rPr>
          <w:rStyle w:val="a7"/>
          <w:rFonts w:asciiTheme="minorEastAsia" w:eastAsiaTheme="minorEastAsia" w:hAnsiTheme="minorEastAsia"/>
          <w:sz w:val="20"/>
          <w:szCs w:val="20"/>
          <w:lang w:eastAsia="ko-KR"/>
        </w:rPr>
        <w:footnoteReference w:id="31"/>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자외선차단제 활성성분의 경우, FDA는 0.5 ng/mL 농도가 검출된 농도 또는 농도 부족에 대한 신뢰성을 보장하는 신호 대 잡음비를 허용할 만큼 분석의 정량한계-검출한계보다 충분히 높을 것으로 예상한다.</w:t>
      </w:r>
    </w:p>
    <w:p w14:paraId="36BBDA0D" w14:textId="77777777" w:rsidR="00BD4CB1" w:rsidRPr="002C7F14" w:rsidRDefault="00BD4CB1" w:rsidP="00EF791F">
      <w:pPr>
        <w:spacing w:line="264" w:lineRule="auto"/>
        <w:jc w:val="both"/>
        <w:rPr>
          <w:rFonts w:asciiTheme="minorEastAsia" w:eastAsiaTheme="minorEastAsia" w:hAnsiTheme="minorEastAsia" w:cs="맑은 고딕"/>
          <w:sz w:val="20"/>
          <w:szCs w:val="20"/>
          <w:lang w:eastAsia="ko-KR"/>
        </w:rPr>
      </w:pPr>
    </w:p>
    <w:p w14:paraId="7E75A6CA" w14:textId="7A4B648B" w:rsidR="003F14F5" w:rsidRPr="002C7F14" w:rsidRDefault="00DC5582"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발달 및 생식 독성 연구</w:t>
      </w:r>
    </w:p>
    <w:p w14:paraId="56A262BF" w14:textId="6171B3C3" w:rsidR="00DC5582" w:rsidRPr="002C7F14" w:rsidRDefault="00DC5582" w:rsidP="00DC5582">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FDA는 자외선차단제 활성성분이 전체 임신기간 동안 및 출생 후 성적 성숙에 이르기까지 자손의 발달뿐만 아니라 성적으로 성숙한 수컷 및 암컷 동물의 생식 능력에 미치는 잠재적 영향을 평가하기 위해 DART 연구를 수행할 필요가 있다고 예상한다(FDA 2021년). 전신 발암성 연구와 마찬가지로, 적절하게 수행된 인체 약물동태 MUsT 프로그램이 0.5 ng/mL 미만의 항정상태 혈중 농도를 나타내고, 적절하게 수행된 독성 프로그램에서 성분(임상적으로 관련된 대사산물 포함) 또는 대사산물을 비롯하여 알려진 구조적으로 유사한 화합물이 관련 경로와 상호작용한다는 신호가 생성되지 않은 경우, 쥐의 생식력, 초기 배아 발달 및 출생 전 또는 출생 후 독성을 평가하는 연구는 필요하지 않은 것으로 예상한다.</w:t>
      </w:r>
      <w:r w:rsidRPr="002C7F14">
        <w:rPr>
          <w:rStyle w:val="a7"/>
          <w:rFonts w:asciiTheme="minorEastAsia" w:eastAsiaTheme="minorEastAsia" w:hAnsiTheme="minorEastAsia"/>
          <w:sz w:val="20"/>
          <w:szCs w:val="20"/>
          <w:lang w:eastAsia="ko-KR"/>
        </w:rPr>
        <w:footnoteReference w:id="32"/>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모든 경우에 쥐와 토끼를 대상으로 배아-태아 발달에 미치는 영향을 평가해야 할 것으로 예상된다.</w:t>
      </w:r>
    </w:p>
    <w:p w14:paraId="2AC0FE08" w14:textId="7546A3BE"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250E06B1"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임신 및 신생아 발달 단계는 호르몬 활성(내분비 교란)이 있는 활성성분에 특히 민감할 수 있다. 이러한 이유로 전술한 연구는 질 개방, 포피 분리, 항문-생식기 거리 및 유두 유지와 같은 종말점 평가를 포함해야 하며, 이러한 종말점은 발달 중인 자손에 대한 자손에 대한 잠재적 호르몬 영향을 평가하기 위해 기존 DART 연구 설계에 통합될 수 있다. 신경내분비 영향을 감지할 수 있는 자손의 행동 평가(예: 교미 행동)도 수행해야 한다(FDA 2015a년).</w:t>
      </w:r>
    </w:p>
    <w:p w14:paraId="3204B373" w14:textId="79650D54"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34BD4574" w14:textId="66385CC3" w:rsidR="00DC5582" w:rsidRPr="002C7F14" w:rsidRDefault="00DC5582"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독성동태(FDA 1995년)</w:t>
      </w:r>
    </w:p>
    <w:p w14:paraId="347E8ECF"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동물 독성동태 데이터는 동물 연구에서 관찰된 독성 수준 및 자외선차단제의 활성성분에 대한 전신 노출과 관련된 잠재적 인체 부작용 간의 중요한 다리 역할을 하기 때문에, 자외선차단제 활성성분에 대해 동물 독성동태 데이터도 수집해야 한다. 독성동태 측정은 일반적으로 별도의 연구가 아닌 발암성 또는 DART 연구와 같은 비임상 독성 연구가 진행되는 동안 이루어진다.</w:t>
      </w:r>
    </w:p>
    <w:p w14:paraId="10F21111" w14:textId="77777777"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41E83EFF" w14:textId="77777777" w:rsidR="00DC5582" w:rsidRPr="002C7F14" w:rsidRDefault="00DC5582" w:rsidP="00DC5582">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C9FE47D" w14:textId="0B8329D3" w:rsidR="00DC5582" w:rsidRPr="002C7F14" w:rsidRDefault="00DC5582" w:rsidP="00A111F6">
      <w:pPr>
        <w:pStyle w:val="a8"/>
        <w:numPr>
          <w:ilvl w:val="0"/>
          <w:numId w:val="9"/>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시판 후 안전성 데이터</w:t>
      </w:r>
    </w:p>
    <w:p w14:paraId="1241D045" w14:textId="7D0D72FA" w:rsidR="00DC5582" w:rsidRPr="002C7F14" w:rsidRDefault="00DC5582" w:rsidP="00DC5582">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앞서 설명한 활성성분 안전성 데이터 외에도, FDA의 GRASE 평가는 고려 대상 활성성분을 함유한 상업적으로 시판된 제품과 관련된 심각한 약물 부작용 경험 및 알려진 또는 예상되는 부작용에 대한 공개 정보도 고려한다.</w:t>
      </w:r>
    </w:p>
    <w:p w14:paraId="7DB3B013" w14:textId="7176BD1E"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6C1CFA04" w14:textId="77777777" w:rsidR="00DC5582" w:rsidRPr="002C7F14" w:rsidRDefault="00DC5582" w:rsidP="00A111F6">
      <w:pPr>
        <w:pStyle w:val="a8"/>
        <w:numPr>
          <w:ilvl w:val="0"/>
          <w:numId w:val="9"/>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나노물질을 함유한 자외선차단제</w:t>
      </w:r>
    </w:p>
    <w:p w14:paraId="2EB05973"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나노기술을 사용하여 제조된(또는 나노물질을 함유한) 자외선차단제를 이러한 특성에만 근거하여 단정적으로 GRASE이거나 GRASE가 아닌 것으로 분류하는 것을 제안하고 있지 않다. 나노기술은 나노미터(nm)(10억분의 1미터) 단위로 측정된 물질을 생성, 탐색 또는 조작하는 데 사용되며, OTC 자외선차단제를 비롯한 광범위한 제품에 적용된다. 이러한 물질의 크기는 일반적으로 약 1~100 nm이다(국립과학기술위원회 기술위원회 2014년). 이처럼 작은 크기의 물질은 더 큰 크기의 물질과 비교하여 화학적 또는 물리적 특성이나 생물학적 영향이 상이할 수 있어 다양한 기능적 영향을 미칠 수 있으며, 잠재적으로 FDA 규제 제품의 안전성, 효과 또는 규제 상태에도 영향을 미칠 수 있다.</w:t>
      </w:r>
    </w:p>
    <w:p w14:paraId="3E645D21" w14:textId="77777777" w:rsidR="00DC5582" w:rsidRPr="002C7F14" w:rsidRDefault="00DC5582" w:rsidP="00DC5582">
      <w:pPr>
        <w:spacing w:line="264" w:lineRule="auto"/>
        <w:jc w:val="both"/>
        <w:rPr>
          <w:rFonts w:asciiTheme="minorEastAsia" w:eastAsiaTheme="minorEastAsia" w:hAnsiTheme="minorEastAsia" w:cs="맑은 고딕"/>
          <w:sz w:val="20"/>
          <w:szCs w:val="20"/>
          <w:lang w:eastAsia="ko-KR"/>
        </w:rPr>
      </w:pPr>
    </w:p>
    <w:p w14:paraId="73420E2C" w14:textId="2B55985A" w:rsidR="00DC5582" w:rsidRPr="002C7F14" w:rsidRDefault="00DC5582" w:rsidP="00DC5582">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FDA는 나노기술, 나노물질, 나노크기 또는 기타 관련 용어에 대한 규제적 정의를 확립하지 않았다. FDA 산업 지침 </w:t>
      </w:r>
      <w:r w:rsidRPr="002C7F14">
        <w:rPr>
          <w:rFonts w:asciiTheme="minorEastAsia" w:eastAsiaTheme="minorEastAsia" w:hAnsiTheme="minorEastAsia" w:hint="eastAsia"/>
          <w:i/>
          <w:iCs/>
          <w:sz w:val="20"/>
          <w:szCs w:val="20"/>
          <w:lang w:eastAsia="ko-KR"/>
        </w:rPr>
        <w:t>FDA 규제 제품이 나노기술 적용을 포함하는지 여부에 대한 고려</w:t>
      </w:r>
      <w:r w:rsidRPr="002C7F14">
        <w:rPr>
          <w:rFonts w:asciiTheme="minorEastAsia" w:eastAsiaTheme="minorEastAsia" w:hAnsiTheme="minorEastAsia" w:hint="eastAsia"/>
          <w:sz w:val="20"/>
          <w:szCs w:val="20"/>
          <w:lang w:eastAsia="ko-KR"/>
        </w:rPr>
        <w:t>(나노기술 고려사항 지침)(FDA 2014a년)에 설명된 대로, 현재 FDA 규제 제품이 나노기술 적용을 포함하지 여부를 고려할 때, FDA는 다음을 묻는다.</w:t>
      </w:r>
    </w:p>
    <w:p w14:paraId="0E9EFD11" w14:textId="6147FC89"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21AFED63" w14:textId="48CBED53" w:rsidR="00DC5582" w:rsidRPr="002C7F14" w:rsidRDefault="00DC5582" w:rsidP="00A111F6">
      <w:pPr>
        <w:pStyle w:val="a8"/>
        <w:numPr>
          <w:ilvl w:val="0"/>
          <w:numId w:val="10"/>
        </w:numPr>
        <w:spacing w:line="276" w:lineRule="auto"/>
        <w:ind w:leftChars="0" w:left="11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물질 또는 최종 제품이 나노크기 범위(약 1~100 nm)에서 적어도 하나의 외부 크기나 내부 또는 표면 구조를 갖도록 설계되었는지 여부</w:t>
      </w:r>
    </w:p>
    <w:p w14:paraId="33F30AB0" w14:textId="0DEDCF31"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7656C3A4" w14:textId="77777777" w:rsidR="00DC5582" w:rsidRPr="002C7F14" w:rsidRDefault="00DC5582" w:rsidP="00DC5582">
      <w:pPr>
        <w:pStyle w:val="a9"/>
        <w:spacing w:line="264" w:lineRule="auto"/>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또한 물질 또는 최종 제품이 제품의 안전성, 효과, 성능, 품질, 공중보건 영향 또는 규제 상태 평가와 관련된 약 1~100 nm의 나노크기 범위를 벗어난 크기에서 기인한 관련 특성 또는 현상을 나타낼 수 있으므로, 다음을 질문한다. </w:t>
      </w:r>
    </w:p>
    <w:p w14:paraId="773248B0" w14:textId="77777777"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1E1CF5EA" w14:textId="77777777" w:rsidR="00DC5582" w:rsidRPr="002C7F14" w:rsidRDefault="00DC5582" w:rsidP="00A111F6">
      <w:pPr>
        <w:pStyle w:val="a8"/>
        <w:numPr>
          <w:ilvl w:val="0"/>
          <w:numId w:val="10"/>
        </w:numPr>
        <w:spacing w:line="276" w:lineRule="auto"/>
        <w:ind w:leftChars="0" w:left="11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물질 또는 최종 제품이 나노크기 범위를 벗어나더라도 최대 1 마이크로미터(µm) (1,000 nm)인 크기에서 기인한 물리적 또는 화학적 특성이나 생물학적 영향을 비롯한 특성 또는 현상을 나타내도록 설계되었는지 여부 </w:t>
      </w:r>
    </w:p>
    <w:p w14:paraId="46773EF3" w14:textId="2D64F03E"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67F7BE3C" w14:textId="77777777" w:rsidR="00DC5582" w:rsidRPr="002C7F14" w:rsidRDefault="00DC5582" w:rsidP="00DC5582">
      <w:pPr>
        <w:pStyle w:val="a9"/>
        <w:spacing w:line="264" w:lineRule="auto"/>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이러한 고려사항을 자외선차단제를 비롯한 모든 FDA 규제 제품에 광범위하게 적용할 것이다. 이 명령안의 목적상 일반적으로 위의 1 또는 2에 해당하는 물질을 지칭하기 위해 </w:t>
      </w:r>
      <w:r w:rsidRPr="002C7F14">
        <w:rPr>
          <w:rFonts w:asciiTheme="minorEastAsia" w:eastAsiaTheme="minorEastAsia" w:hAnsiTheme="minorEastAsia" w:hint="eastAsia"/>
          <w:i/>
          <w:sz w:val="20"/>
          <w:szCs w:val="20"/>
          <w:lang w:eastAsia="ko-KR"/>
        </w:rPr>
        <w:t>나노물질</w:t>
      </w:r>
      <w:r w:rsidRPr="002C7F14">
        <w:rPr>
          <w:rFonts w:asciiTheme="minorEastAsia" w:eastAsiaTheme="minorEastAsia" w:hAnsiTheme="minorEastAsia" w:hint="eastAsia"/>
          <w:sz w:val="20"/>
          <w:szCs w:val="20"/>
          <w:lang w:eastAsia="ko-KR"/>
        </w:rPr>
        <w:t>이라는 용어를 사용한다. 이 같은 방식으로 이 용어를 사용하는 것은 FDA의 나노기술 고려사항 지침을 비롯한 나노기술 관련 FDA 지침에 사용된 것과 일치한다.</w:t>
      </w:r>
    </w:p>
    <w:p w14:paraId="146134AC" w14:textId="702E5C29"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44392147"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활성성분 산화아연 및 이산화티타늄의 나노물질 형태는 시판된 OTC 자외선차단제에 사용되어 왔다. 산화아연 및 이산화티타늄의 나노물질 형태 외에 다른 나노물질도 자외선차단제에 사용되었거나 사용하도록 촉진되거나 연구된 것으로 보고되었다(Hayden외 공저 2016년).</w:t>
      </w:r>
    </w:p>
    <w:p w14:paraId="3D927B25" w14:textId="378B03CC"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6BF1469C"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섹션 VI.</w:t>
      </w:r>
      <w:proofErr w:type="gramStart"/>
      <w:r w:rsidRPr="002C7F14">
        <w:rPr>
          <w:rFonts w:asciiTheme="minorEastAsia" w:eastAsiaTheme="minorEastAsia" w:hAnsiTheme="minorEastAsia" w:hint="eastAsia"/>
          <w:sz w:val="20"/>
          <w:szCs w:val="20"/>
          <w:lang w:eastAsia="ko-KR"/>
        </w:rPr>
        <w:t>C.i</w:t>
      </w:r>
      <w:proofErr w:type="gramEnd"/>
      <w:r w:rsidRPr="002C7F14">
        <w:rPr>
          <w:rFonts w:asciiTheme="minorEastAsia" w:eastAsiaTheme="minorEastAsia" w:hAnsiTheme="minorEastAsia" w:hint="eastAsia"/>
          <w:sz w:val="20"/>
          <w:szCs w:val="20"/>
          <w:lang w:eastAsia="ko-KR"/>
        </w:rPr>
        <w:t>에서 더 자세히 논의한 바와 같이, 산화아연과 이산화티타늄의 나노물질 형태를 비롯하여 기록에 있는 과학적 정보를 검토한 후 FDA는 현재 이러한 성분의 다른 형태와 나노물질을 구분하는 자외선차단제 모노그래프에 따라 이 두 가지 활성성분에 대한 사용 조건을 제안하고 있지 않다. 위에서 언급한 바와 같이, FDA는 나노기술을 사용하여 제조되거나 나노물질을 함유한 자외선차단제를 이러한 근거에만 기초하여 단정적으로 GRASE이거나 GRASE가 아닌 것으로 분류할 것을 제안하지 않는다. OTC 자외선차단제 모노그래프에 따라 시판되는 나노물질 함유 제품의 제조업자는 제품이 모든 관련 법적 요구사항을 충족하도록 보장할 책임이 있다. FDA는 이러한 제품의 제조업자가 제품과 관련된 특정 과학적 또는 규제적 문제에 대한 상호 이해를 촉진하기 위해 FDA와 협의할 것을 권장한다.</w:t>
      </w:r>
    </w:p>
    <w:p w14:paraId="6B1D7C47" w14:textId="6535A175"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557FF479" w14:textId="33CB8381"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다음 주제에 대한 의견을 요청한다.</w:t>
      </w:r>
    </w:p>
    <w:p w14:paraId="33578623" w14:textId="3FC1B180"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7CB91CDF" w14:textId="77777777" w:rsidR="00DC5582" w:rsidRPr="002C7F14" w:rsidRDefault="00DC5582" w:rsidP="00A111F6">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OTC 자외선차단제에 사용되었거나 사용하도록 제안된 특정 나노물질 또는 나노물질 유형</w:t>
      </w:r>
    </w:p>
    <w:p w14:paraId="6495806F" w14:textId="77777777" w:rsidR="00DC5582" w:rsidRPr="002C7F14" w:rsidRDefault="00DC5582" w:rsidP="00A111F6">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OTC 자외선차단제에 나노물질을 사용하는 것과 관련된 자외선차단제의 안전성, 효과 또는 물질 관련 우려사항 및 근거 데이터</w:t>
      </w:r>
    </w:p>
    <w:p w14:paraId="566D120B" w14:textId="77777777" w:rsidR="00DC5582" w:rsidRPr="002C7F14" w:rsidRDefault="00DC5582" w:rsidP="00A111F6">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OTC 자외선차단제에 사용하기 위한 특정 나노물질에 대한 규격 또는 제한사항의 필요성 및 제안</w:t>
      </w:r>
    </w:p>
    <w:p w14:paraId="315A032B" w14:textId="77777777" w:rsidR="00DC5582" w:rsidRPr="002C7F14" w:rsidRDefault="00DC5582" w:rsidP="00A111F6">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OTC 자외선차단제에 사용하도록 허용해서는 안 된다고 생각하는 특정 나노물질 및 이를 뒷받침하는 과학적 정보</w:t>
      </w:r>
    </w:p>
    <w:p w14:paraId="653853EC" w14:textId="77777777" w:rsidR="00DC5582" w:rsidRPr="002C7F14" w:rsidRDefault="00DC5582" w:rsidP="00A111F6">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OTC 자외선차단제에 나노물질을 사용하는 것에 대한 FDA 제안 규제 접근방식 및/또는 대체 규제 접근방식</w:t>
      </w:r>
    </w:p>
    <w:p w14:paraId="3CF873A1" w14:textId="77777777" w:rsidR="00DC5582" w:rsidRPr="002C7F14" w:rsidRDefault="00DC5582" w:rsidP="00DC5582">
      <w:pPr>
        <w:spacing w:line="264" w:lineRule="auto"/>
        <w:jc w:val="both"/>
        <w:rPr>
          <w:rFonts w:asciiTheme="minorEastAsia" w:eastAsiaTheme="minorEastAsia" w:hAnsiTheme="minorEastAsia" w:cs="맑은 고딕"/>
          <w:sz w:val="20"/>
          <w:szCs w:val="20"/>
          <w:lang w:eastAsia="ko-KR"/>
        </w:rPr>
      </w:pPr>
    </w:p>
    <w:p w14:paraId="2278BABC" w14:textId="77777777" w:rsidR="00DC5582" w:rsidRPr="002C7F14" w:rsidRDefault="00DC5582" w:rsidP="00A111F6">
      <w:pPr>
        <w:pStyle w:val="a8"/>
        <w:numPr>
          <w:ilvl w:val="0"/>
          <w:numId w:val="6"/>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자외선차단제 활성성분에 대한 기존 안전성 데이터</w:t>
      </w:r>
    </w:p>
    <w:p w14:paraId="1674914B"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섹션의 나머지 부분에서는 자외선차단제 모노그래프 활성성분 각각에 대한 기존 데이터 및 데이터 공백에 대해 논의하고 이러한 활성성분이 자외선차단제에 사용하기 위해 GRASE이거나 GRASE가 아니라고 제안하는 이유를 설명한다.</w:t>
      </w:r>
    </w:p>
    <w:p w14:paraId="00A85AE1" w14:textId="77777777" w:rsidR="00DC5582" w:rsidRPr="002C7F14" w:rsidRDefault="00DC5582" w:rsidP="00DC5582">
      <w:pPr>
        <w:spacing w:line="264" w:lineRule="auto"/>
        <w:jc w:val="both"/>
        <w:rPr>
          <w:rFonts w:asciiTheme="minorEastAsia" w:eastAsiaTheme="minorEastAsia" w:hAnsiTheme="minorEastAsia" w:cs="맑은 고딕"/>
          <w:sz w:val="20"/>
          <w:szCs w:val="20"/>
          <w:lang w:eastAsia="ko-KR"/>
        </w:rPr>
      </w:pPr>
    </w:p>
    <w:p w14:paraId="56084858" w14:textId="6814CA78" w:rsidR="00DC5582" w:rsidRPr="002C7F14" w:rsidRDefault="00DC5582" w:rsidP="00DC5582">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70B2A700" w14:textId="3D9D490D" w:rsidR="00DC5582" w:rsidRPr="002C7F14" w:rsidRDefault="00DC5582" w:rsidP="00A111F6">
      <w:pPr>
        <w:pStyle w:val="a8"/>
        <w:numPr>
          <w:ilvl w:val="0"/>
          <w:numId w:val="11"/>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자외선차단제에 사용하기 위해 GRASE로 제안된 성분</w:t>
      </w:r>
    </w:p>
    <w:p w14:paraId="51BFAC4F" w14:textId="77777777"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성분에 대한 공개 데이터를 검토한 결과 활성성분으로 산화아연, 이산화티타늄 또는 둘 다를 포함하는 자외선차단제는 최종 자외선차단제 명령에 명시된 다른 모든 조건을 충족하는 경우 FD&amp;C법 제201(p)(1)조에 따라 GRASE이라고(FD&amp;C법 제503(b)(1)조를 적용 받지 않음) 제안한다. FD&amp;C법 제505G(b)(1)(A)조 참조.</w:t>
      </w:r>
    </w:p>
    <w:p w14:paraId="285B0366" w14:textId="469E23F1"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5DB3F273" w14:textId="77777777" w:rsidR="00DC5582" w:rsidRPr="002C7F14" w:rsidRDefault="00DC5582" w:rsidP="00A111F6">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산화아연</w:t>
      </w:r>
    </w:p>
    <w:p w14:paraId="3BD59DC2" w14:textId="5B69115F" w:rsidR="00DC5582" w:rsidRPr="002C7F14" w:rsidRDefault="00DC5582" w:rsidP="00DC5582">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과학 문헌 검토, 자외선차단제 모노그래프 문서철 제출물 및 FAERS에 제출된 이상사례 보고서는 최대 25%의 산화아연을 함유한 자외선차단제가 최종 자외선차단제 명령에 명시된 다른 모든 조건을 충족하는 경우 FD&amp;C법 제201(p)(1)조에 따라 GRASEG라는(제503(b)(1)조를 적용 받지 않음) 제안을 뒷받침하기에 충분한 산화아연에 대한 안정성 데이터를 생성했다. FD&amp;C법 제505G(b)(1)(A)조 참조. 이 제안은 산화아연(나노크기(즉, 약 1~100 nm) 입자 포함)이 인체 피부에 크게 침투하지 않으며 최소한의 침투가 발생하더라도 인체 내 높은 수준의 내인성 아연을 고려할 때 건강에 부정적인 영향을 미치지 않는다는 기존의 실질적인 증거에 상당 부분 근거한다.</w:t>
      </w:r>
    </w:p>
    <w:p w14:paraId="01E679AB" w14:textId="01D6368B"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11F7266D" w14:textId="5A33B3E8" w:rsidR="00DC5582" w:rsidRPr="002C7F14" w:rsidRDefault="00DC5582" w:rsidP="00A111F6">
      <w:pPr>
        <w:pStyle w:val="30"/>
        <w:keepNext w:val="0"/>
        <w:numPr>
          <w:ilvl w:val="0"/>
          <w:numId w:val="1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배경</w:t>
      </w:r>
    </w:p>
    <w:p w14:paraId="0AEAFFD8" w14:textId="3622A2DF"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산화아연은 무기 광물 화합물이다. UVA 파장을 반사하는 능력 때문에 산화아연은 광범위 스펙트럼 차단 기능을 확립하는 데 도움이 되는 자외선차단제에 자주 사용된다(Beasley 및 Meyer 2010년). 자외선차단제에 사용되는 산화아연의 더 큰 입자(약 100 nm 이상)는 제품이 불투명한 흰색을 띠도록 하지만, 산화아연은 이러한 흰색의 불투명한 외관을 줄이기 위해 더 작은 입자 크기(약 100 nm 미만)로 제조된다(Fairhurst 및 Mitchnick 1997년; Mitchnick외 공저 1999년). 자외선차단제에 사용되는 것 외에도 산화아연은 보호, 수렴 및 살균 특성 때문에 다양한 피부 질환을 위한 자외선 차단 기능이 없는 연고, 페이스트 및 로션에도 사용된다(Agren 1990b년). </w:t>
      </w:r>
    </w:p>
    <w:p w14:paraId="0E492381" w14:textId="26E3D61E"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0D9A16F7" w14:textId="48DCAE82" w:rsidR="00DC5582" w:rsidRPr="002C7F14" w:rsidRDefault="00DC5582" w:rsidP="00A111F6">
      <w:pPr>
        <w:pStyle w:val="30"/>
        <w:keepNext w:val="0"/>
        <w:numPr>
          <w:ilvl w:val="0"/>
          <w:numId w:val="1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논의</w:t>
      </w:r>
    </w:p>
    <w:p w14:paraId="4A7651B9" w14:textId="595413A2" w:rsidR="00DC5582" w:rsidRPr="002C7F14" w:rsidRDefault="00DC5582" w:rsidP="00DC5582">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산화아연은 물에 녹지 않으며 대체로 생체액에서도 불용성이다.</w:t>
      </w:r>
      <w:r w:rsidRPr="002C7F14">
        <w:rPr>
          <w:rStyle w:val="a7"/>
          <w:rFonts w:asciiTheme="minorEastAsia" w:eastAsiaTheme="minorEastAsia" w:hAnsiTheme="minorEastAsia"/>
          <w:sz w:val="20"/>
          <w:szCs w:val="20"/>
          <w:lang w:eastAsia="ko-KR"/>
        </w:rPr>
        <w:footnoteReference w:id="33"/>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이러한 불용성은 산화아연이 최대 적격 농도인 25%로 포함되었더라도 제품 제형에 관계없이 최소량을 초과하여 국소 적용된 자외선차단제에서 전신 흡수가 발생할 가능성을 배제한다. 아래에서 더 자세히 논의되는 산화아연의 피부 침투에 대한 연구에 따르면, 이러한 침투는 입자 크기에 관계없이 주로 죽은 각질층 상층으로 제한되며, 대부분의 침투는 피부 주름 및 소구 또는 모낭에서만 발생한다. 이러한 연구는 산화아연 입자가 살아있는 진피로 크게 침투하지는 않는다는 것을 보여준다.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발생할 수 있는 최소한의 경피 침투는 경피 흡수가 이루어진 소량의 산화아연 입자가 있더라도 인체에서 자연적으로 발생하는 원소들인 아연과 산소 이온으로 해리되기 때문에 건강에 악영향을 미치지 않는다(Samman외 공저 2007년). 아연은 인체에서 14번째로 흔한 원소이며 모든 생명체에 필수적이다. 평균적인 인체에는 약 2.0~2.5 g의 아연이 함유되어 있으며, 정상적인 아연 섭취량은 하루에 약 15 밀리그램(mg)이다(Samman외 공저 2007년; Plum외 공저 2010년). 신체의 항상성 메커니즘은 아연의 흡수, 분포, 세포 흡수 및 배설을 조절한다(Plum외 공저 2010년). 마찬가지로 피부를 통해 흡수된 산소는 인체에 풍부하고 생명에 필수적이기 때문에 무해하다.</w:t>
      </w:r>
    </w:p>
    <w:p w14:paraId="39702DF1" w14:textId="1F9F45E7"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05196A51" w14:textId="1262C11E" w:rsidR="00A111F6" w:rsidRPr="002C7F14" w:rsidRDefault="00A111F6" w:rsidP="00A111F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산화아연 관련 문헌을 검색한 결과, 산화아연의 인체 피부 침투에 관한 최근 연구 4건이 확인되었으며 이러한 연구는 이 화합물의 물리적 특성에 기초한 본 기관의 예상을 확인해 주었다. (Leite-Silva외 공저자들 및 Darvin외 공저자들이 수행한) 처음 두 연구는 다광자 단층촬영을 사용하여 산화아연의 피부 침투를 조사했다(Leite-Silva외 공저 2013년; Darvin외 공저 2012년). 두 연구 모두에서 산화아연은 소구 및 주름을 제외하고 몇 개의 세포층을 넘어 전반적으로 침투하지는 않는 것으로 나타났다(Leite-Silva외 공저 2013년; Darvin외 공저 2012년). Gulson외 공저자들이 수행한 두 번째 두 연구(파일럿 및 후속 전체 시험)는 안정동위원소 추적법을 사용하여 나노크기 산화아연의 피부 침투를 평가했다(Gulson외 공저 2010년; Gulson외 공저 2012년). Gulson 연구에 따르면 국소적으로 적용된 아연의 최소량이 흡수된 것으로 나타났지만, 관찰된 흡수량은 일일 영양 섭취량보다 훨씬 적고 항상성 메커니즘에 의해 조절되는 체내에서 자연적으로 발생하는 원소에 대해 우려할 만한 수준보다 훨씬 낮은 수준이었다(Stefanidou외 공저 2006년). 추가 돼지 연구에 따르면, (국제기술평가센터 등이 제출한 시민 청원에 대한 2012년 답변(문서철 번호 FDA-2006-P-0213- 0003)(ICTA 청원 답변)에서 논의된 바와 같이) UVB 광선에 의한 일광화상은 산화아연이 죽은 각질층으로 침투하는 것을 증가시켰지만, 산화아연이 피부의 표피층 및 진피층으로 침투하는 것은 최소한으로 유지되었다(Monteiro-Riviere외 공저 2011년). 국소적으로 적용된 산화아연 입자는 유의미한 정도로 체순환으로 유입되지 않기 때문에 이 성분의 안전성을 뒷받침하기 위해 MUsT 프로그램이 필요하다고 판단하지 않는다.</w:t>
      </w:r>
    </w:p>
    <w:p w14:paraId="3C49701B" w14:textId="685E96B2"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650F8B75" w14:textId="579B0CB2" w:rsidR="00A111F6" w:rsidRPr="002C7F14" w:rsidRDefault="00A111F6" w:rsidP="00A111F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위에서 설명한 연구 외에도, 건강한 지원자들의 하완에 약물 처리한 밀봉드레싱으로 산화아연(25%)을 사용한 국소 적용 산화아연의 임상적 안전성을 평가하는 두 가지 연구도 발견했다(Agren 1990a년; Agren 1991년). (잠재적 흡수를 극대화하고 이로 인한 이상사례를 식별하도록 설계된) 이 연구에서는 밀봉으로 인해 진피 또는 표피의 아연 수준이 증가했음에도 불구하고 여전히 피부 부작용이 없었다. 또한 산화아연에 대한 인체 피부 안전성 연구</w:t>
      </w:r>
      <w:r w:rsidRPr="002C7F14">
        <w:rPr>
          <w:rStyle w:val="a7"/>
          <w:rFonts w:asciiTheme="minorEastAsia" w:eastAsiaTheme="minorEastAsia" w:hAnsiTheme="minorEastAsia"/>
          <w:sz w:val="20"/>
          <w:szCs w:val="20"/>
          <w:lang w:eastAsia="ko-KR"/>
        </w:rPr>
        <w:footnoteReference w:id="34"/>
      </w:r>
      <w:r w:rsidRPr="002C7F14">
        <w:rPr>
          <w:rFonts w:asciiTheme="minorEastAsia" w:eastAsiaTheme="minorEastAsia" w:hAnsiTheme="minorEastAsia" w:hint="eastAsia"/>
          <w:sz w:val="20"/>
          <w:szCs w:val="20"/>
          <w:lang w:eastAsia="ko-KR"/>
        </w:rPr>
        <w:t>를 검토한 결과, 최대 25%의 산화아연을 함유한 시험물질은 인체 자극, 광자극, 알레르기 또는 광알레르기 반응을 유발하지 않는다는 데이터가 확인되었다. 피부 자극을 나타내는 인체의 병리학적 광독성 또는 유의미한 광감작 반응도 언급되지 않았다. 산화아연을 함유한 피부 보호 의약품의 안전성을 뒷받침하는 문헌</w:t>
      </w:r>
      <w:r w:rsidRPr="002C7F14">
        <w:rPr>
          <w:rStyle w:val="a7"/>
          <w:rFonts w:asciiTheme="minorEastAsia" w:eastAsiaTheme="minorEastAsia" w:hAnsiTheme="minorEastAsia"/>
          <w:sz w:val="20"/>
          <w:szCs w:val="20"/>
          <w:lang w:eastAsia="ko-KR"/>
        </w:rPr>
        <w:footnoteReference w:id="35"/>
      </w:r>
      <w:r w:rsidRPr="002C7F14">
        <w:rPr>
          <w:rFonts w:asciiTheme="minorEastAsia" w:eastAsiaTheme="minorEastAsia" w:hAnsiTheme="minorEastAsia" w:hint="eastAsia"/>
          <w:sz w:val="20"/>
          <w:szCs w:val="20"/>
          <w:lang w:eastAsia="ko-KR"/>
        </w:rPr>
        <w:t>은 이러한 임상적 안전성 결과를 강화한다. 이 분야에 대한 본 기관의 검토는 자외선차단제에 최대 25%의 농도로 나노크기 산화아연을 사용하는 것이 국소 적용 후 인간에게 부작용 위험을 제기하지 않는다는 유럽연합 집행위원회 산하 소비자안전과학위원회의 결론과도 일치한다(유럽연합 집행위원회 2012년).</w:t>
      </w:r>
    </w:p>
    <w:p w14:paraId="0FC8112B" w14:textId="094764AF"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66B25B32" w14:textId="32BA8B90" w:rsidR="00FF5933" w:rsidRPr="002C7F14" w:rsidRDefault="00FF5933" w:rsidP="00FF593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FAERS에서 산화아연이 함유된 자외선차단제에 대한 발진 및 과민증 보고는 극히 소수에 불과했다. 단 한 가지 예외를 제외하고, 자외선차단제는 두 가지 이상의 활성성분을 함유하여 특정 활성성분으로 인한 인과관계를 규명하기는 어려웠다.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알려진 과민증 위험이 있는 다른 자외선차단제 성분과 달리, FAERS 또는 문헌에서 산화아연에 양성 반응을 보인 피부 검사 결과와 같이 인과관계를 암시하는 특징이 있는 보고는 확인되지 않았다. 또한 유아의 기저귀 발진 치료를 위한 제품을 비롯한 다른 국소 제품에서 산화아연을 사용하는 것에 대한 매우 방대한 안전성 데이터베이스가 존재한다. 이는 제안된 조건에서 이 성분을 함유한 자외선차단제의 안정성에 대해 제안된 결과를 뒷받침하는 자극, 광자극, 알레르기 및 광알레르기에 대한 인체 연구의 음성 결과를 보강한다. 산화아연과 관련된 과민증과 무관한 임상 안전성 문제에 대한 보고는 드물었고 심각하지 않았다. 이러한 이유로 이 성분에 대한 (광안전성, 자극성 또는 감작성 연구를 비롯한) 추가 임상 연구는 필요하지 않다고 판단한다.</w:t>
      </w:r>
    </w:p>
    <w:p w14:paraId="12EE3AAF" w14:textId="584E0C63"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66EF9750" w14:textId="77777777" w:rsidR="00FF5933" w:rsidRPr="002C7F14" w:rsidRDefault="00FF5933" w:rsidP="00FF593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산화아연에 대한 피부 발암성 연구는 수행되지 않았다. 일반적으로 섹션 VI.B.iii.1에서 논의된 바와 같이, 만성 사용을 위한 국소 제품(예: 자외선 차단제)에 사용하기 위한 활성성분의 안전성에 대한 적절한 시험은 활성성분이 생물학적 영향을 미칠 수 있는 살아있는 피부층에 도달하는 경우 피부 발암성 연구를 포함해야 한다. 산화아연이 죽은 각질층 아래로는 최소한으로 침투한다는 점을 감안할 때, 산화아연이 피부 종양 발달에 영향을 미칠 수 있는 타당한 메커니즘은 없다. 따라서 산화아연을 연구한 피부 발암성 연구가 부족함에도 불구하고 이 성분이 자외선차단제에 사용하기 위해 GRASE이라고 판단할 것을 제안하고 있다.</w:t>
      </w:r>
    </w:p>
    <w:p w14:paraId="453E1060" w14:textId="108D9E30"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25661DCC" w14:textId="2A879352" w:rsidR="00FF5933" w:rsidRPr="002C7F14" w:rsidRDefault="00FF5933" w:rsidP="00FF593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특히 내인성 아연 수치와 비교 시 피부에 적용된 산화아연으로 인한 최소 전신 노출을 근거로 전신 발암성 연구, 발달 및 생식 독성 연구 또는 독성동태 연구를 비롯하여 산화아연을 함유한 자외선차단제 안전성을 뒷받침하기 위한 추가 비임상 연구가 필요하지 않다고 판단한다.</w:t>
      </w:r>
      <w:r w:rsidRPr="002C7F14">
        <w:rPr>
          <w:rStyle w:val="a7"/>
          <w:rFonts w:asciiTheme="minorEastAsia" w:eastAsiaTheme="minorEastAsia" w:hAnsiTheme="minorEastAsia"/>
          <w:sz w:val="20"/>
          <w:szCs w:val="20"/>
          <w:lang w:eastAsia="ko-KR"/>
        </w:rPr>
        <w:footnoteReference w:id="36"/>
      </w:r>
      <w:r w:rsidRPr="002C7F14">
        <w:rPr>
          <w:rFonts w:asciiTheme="minorEastAsia" w:eastAsiaTheme="minorEastAsia" w:hAnsiTheme="minorEastAsia"/>
          <w:sz w:val="20"/>
          <w:szCs w:val="20"/>
          <w:lang w:eastAsia="ko-KR"/>
        </w:rPr>
        <w:t xml:space="preserve"> </w:t>
      </w:r>
    </w:p>
    <w:p w14:paraId="1E0B5D1B" w14:textId="010535A5"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3FE7B922" w14:textId="3580D4E6" w:rsidR="00FF5933" w:rsidRPr="002C7F14" w:rsidRDefault="00FF5933" w:rsidP="00FF5933">
      <w:pPr>
        <w:pStyle w:val="30"/>
        <w:keepNext w:val="0"/>
        <w:numPr>
          <w:ilvl w:val="0"/>
          <w:numId w:val="1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결론</w:t>
      </w:r>
    </w:p>
    <w:p w14:paraId="4F581843" w14:textId="720ADBF4" w:rsidR="00F42989" w:rsidRPr="002C7F14" w:rsidRDefault="00F42989" w:rsidP="00F4298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동물 및 인간 연구의 이용 가능한 데이터 및 용해도와 같은 물리적 특성에 대한 데이터를 검토한 결과, 입자 크기에 관계없이 국소 적용된 자외선차단제 제형에서 산화아연의 경피 흡수가 발생할 가능성은 극히 낮으며, 발생할 수 있는 모든 최소한의 흡수는 높은 수준의 내인성 아연을 감안할 때 건강에 악영향을 미치지 않을 것이라는 결론을 내렸다. 산화아연의 전신 흡수 가능성이 매우 낮다는 것은 산화아연의 안전역이 크다는 것을 나타낸다. 따라서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B.ii.3에서 논의한 소아 연구에 대한 접근방식과 일관되게, 이 성분에 대한 소아 연구가 필요하다고 판단하지 않는다. 현재 이용 가능한 안전성 데이터는 임자 크기에 관계없이 최대 25%까지 산화아연의 최소 흡수, 낮은 피부 자극, 낮은 알레르기성 감작 및 광알레르기성 및 낮은 광독성 가능성을 입증하기에 충분한 증거를 제공하며 이 데이터는 제안된 조건에서 산화아연이 최대 25%까지 자외선차단제에 사용하기 위해 GRASE라는 결과를 뒷받침한다고 판단할 것을 제안한다.</w:t>
      </w:r>
    </w:p>
    <w:p w14:paraId="524C7E0A" w14:textId="5B8C2624"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0E4B7A05" w14:textId="77777777" w:rsidR="00F42989" w:rsidRPr="002C7F14" w:rsidRDefault="00F42989" w:rsidP="00F42989">
      <w:pPr>
        <w:pStyle w:val="a8"/>
        <w:numPr>
          <w:ilvl w:val="3"/>
          <w:numId w:val="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이산화티타늄</w:t>
      </w:r>
    </w:p>
    <w:p w14:paraId="2AA00B1F" w14:textId="0094BE41" w:rsidR="00FF5933" w:rsidRPr="002C7F14" w:rsidRDefault="00F42989" w:rsidP="00F4298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산화아연과 유사한 이유로, 최대 25%의 이산화티타늄을 함유한 자외선차단제는 최종 자외선차단제 명령에 명시된 다른 모든 조건을 충족하는 경우 FD&amp;C법 제201(p)(1)조에 따라 GRASE(FD&amp;C법 제503(b)(1)조를 적용 받지 않음)라고 제안한다. FD&amp;C법 제505G(b)(1)(A)조 참조. 과학 문헌에 공개적으로 제공된 정보, 자외선차단제 모노그래프 문서철 제출물 및 FAERS를 검토한 결과, 최대 25%의 이산화티타늄을 함유한 자외선차단제는 최종 자외선차단제 명령에 명시된 다른 조건을 준수하는 경우 FD&amp;C법 제201(p)(1)조에 따라 GRASE(FD&amp;C법 제503(b)(1)조를 적용 받지 않음)라는 제안을 뒷받침하기에 충분한 정보가 도출되었다.</w:t>
      </w:r>
    </w:p>
    <w:p w14:paraId="5AC34302" w14:textId="0FEE8F54"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48B66E7A" w14:textId="77777777" w:rsidR="00D52BAF" w:rsidRPr="002C7F14" w:rsidRDefault="00D52BAF" w:rsidP="008E4E2D">
      <w:pPr>
        <w:pStyle w:val="30"/>
        <w:keepNext w:val="0"/>
        <w:numPr>
          <w:ilvl w:val="0"/>
          <w:numId w:val="13"/>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배경</w:t>
      </w:r>
    </w:p>
    <w:p w14:paraId="4DFD36B2" w14:textId="19B91AB6"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이산화티타늄은 작은 결정 구조 또는 비정질 입자로 구성된 무기 광물 화합물이다. 이 화합물은 부형제로 널리 사용되고 있으며, 현재 60개 이상의 허가된 의약품(국소, 경구 및 흡입 제품 포함)에서 비활성성분으로 등재되어 있다(FDA, n.d.). 이산화티타늄 입자는 다양한 크기, 모양(예: 구형 또는 막대형) 및 결정 다형체(예: 아나타제 또는 루틸)를 갖도록 제조할 수 있다. 이산화티타늄(일반적으로 입자 크기가 200~300nm)은 의약품에서 흰색 안료로 사용하기 위해 흰색 분말로 제조된다. 또한 제조업자는 흰색/불투명한 외관을 줄이기 위해 입자 크기가 15~50 nm인 이산화티타늄을 생산하는 공정을 도입했다. 자외선차단제에 사용되는 이산화티타늄 입자는 현재 최종 제형의 미적 특성을 개선하기 위해 입자의 외부 표면에 결합된 화학적 코팅(예: 실리콘, 금속산화물 또는 유기산)으로 처리되는 경우가 많다.</w:t>
      </w:r>
    </w:p>
    <w:p w14:paraId="5018377D" w14:textId="4C158B87"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4CA3C55B" w14:textId="77777777" w:rsidR="00D52BAF" w:rsidRPr="002C7F14" w:rsidRDefault="00D52BAF" w:rsidP="008E4E2D">
      <w:pPr>
        <w:pStyle w:val="30"/>
        <w:keepNext w:val="0"/>
        <w:numPr>
          <w:ilvl w:val="0"/>
          <w:numId w:val="13"/>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논의</w:t>
      </w:r>
    </w:p>
    <w:p w14:paraId="7196A111" w14:textId="77112B13"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이산화티타늄은 본질적으로 물과 생체액에서 불용성이다(Gad 및 Wexler 2014년). 산화아연과 마찬가지로 이러한 용해도 부족은 이산화티타늄의 농도 또는 제품 제형에 관계없이 최소량 이상의 이산화티타늄이 경피로 흡수되는 것을 방지한다(Pflucker 및 Hohenberg 2001년). 또한 용해되면 아연과 산소로 해리되는 산화아연과 달리(Sandstead외 공저 2015년), 이산화티타늄은 화학적 안정성으로 인해 체내에 존재하는 조건에서 해리되지 않는다(Gotman 2009년). 이산화티타늄이 티타늄과 산소로 해리된다 하더라도 티타늄은 생리적 조건에서 반응하지 않으며, (이러한 이유 및 다른 이유로 인해) 인체에 이식되는 의료기기 및 구조물에 자주 사용된다(Gotman 2009년; Ipach외 공저 2012년).</w:t>
      </w:r>
    </w:p>
    <w:p w14:paraId="4043503A" w14:textId="71699271"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1746AF68" w14:textId="36EC4F11" w:rsidR="00D52BAF" w:rsidRPr="002C7F14" w:rsidRDefault="00D52BAF" w:rsidP="00D52BA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이산화티타늄의 경피 흡수에 대한 이용 가능한 연구는 나노크기를 비롯한 입자 크기에 관계없이 피부가 이산화티타늄 침투에 효과적인 장벽임을 확인한다(Sadrieh외 공저 2010년; Kiss외 공저 2008년; Crosera외 공저 2015년). 앞서 언급한 ICTA 청원에 대한 2012년 답변에서 이산화티타늄 나노물질의 흡수에 대한 당시 이용 가능한 정보를 설명했으며, "현재 이용 가능한 문헌에 따르면 자외선차단제에 사용되는 이산화티타늄의 불용성 나노물질은 국소적으로 적용할 때 인체 피부 속으로 침투하여 건강에 악영향을 미치지 않는다"는 결론을 내렸다(ICTA 청원 답변 26 페이지). 2019년 규칙안이 발행되기 전 ICTA 청원 답변이 발행된 이후 이용 가능한 문헌을 검색한 결과, 이 결론을 바꾸는 어떠한 사항도 발견되지 않았다. 국소 적용된 이산화티타늄 입자는 유의미한 정도로 체순환에 유입되지 않기 때문에 이 성분에 대한 MUsT 프로그램이 필요하다고 판단하지 않는다.</w:t>
      </w:r>
    </w:p>
    <w:p w14:paraId="0DC3D657" w14:textId="77777777" w:rsidR="00D52BAF" w:rsidRPr="002C7F14" w:rsidRDefault="00D52BAF" w:rsidP="00D52BAF">
      <w:pPr>
        <w:spacing w:line="264" w:lineRule="auto"/>
        <w:jc w:val="both"/>
        <w:rPr>
          <w:rFonts w:asciiTheme="minorEastAsia" w:eastAsiaTheme="minorEastAsia" w:hAnsiTheme="minorEastAsia" w:cs="맑은 고딕"/>
          <w:sz w:val="20"/>
          <w:szCs w:val="20"/>
          <w:lang w:eastAsia="ko-KR"/>
        </w:rPr>
      </w:pPr>
    </w:p>
    <w:p w14:paraId="2D028BDE" w14:textId="3D171D9D" w:rsidR="00D52BAF" w:rsidRPr="002C7F14" w:rsidRDefault="00D52BAF" w:rsidP="00D52BA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이산화티타늄이 최소량을 초과하여 경피로 흡수되지 않고 그 결과 전신 영향을 미칠 가능성이 매우 낮다는 점을 감안할 때 이 성분의 안정성을 뒷받침하기 위해 전신 발암성 연구, 발달 및 생식 독성 연구 또는 독성동태 연구를 비롯하여 추가적인 비임상 연구가 필요하다고 판단하지 않는다.</w:t>
      </w:r>
      <w:r w:rsidRPr="002C7F14">
        <w:rPr>
          <w:rStyle w:val="a7"/>
          <w:rFonts w:asciiTheme="minorEastAsia" w:eastAsiaTheme="minorEastAsia" w:hAnsiTheme="minorEastAsia"/>
          <w:sz w:val="20"/>
          <w:szCs w:val="20"/>
          <w:lang w:eastAsia="ko-KR"/>
        </w:rPr>
        <w:footnoteReference w:id="37"/>
      </w:r>
      <w:r w:rsidRPr="002C7F14">
        <w:rPr>
          <w:rFonts w:asciiTheme="minorEastAsia" w:eastAsiaTheme="minorEastAsia" w:hAnsiTheme="minorEastAsia" w:hint="eastAsia"/>
          <w:sz w:val="20"/>
          <w:szCs w:val="20"/>
          <w:lang w:eastAsia="ko-KR"/>
        </w:rPr>
        <w:t xml:space="preserve"> 이산화티타늄이 죽은 각질층을 넘어 살아있는 피부층으로 침투하는 것도 산화아연과 마찬가지로 최소 수준이기 때문에 이산화티타늄에 대해서도 피부 발암성 연구가 필요하다고 판단하지 않는다. </w:t>
      </w:r>
    </w:p>
    <w:p w14:paraId="55BC8955" w14:textId="77777777" w:rsidR="00D52BAF" w:rsidRPr="002C7F14" w:rsidRDefault="00D52BAF" w:rsidP="00D52BAF">
      <w:pPr>
        <w:spacing w:line="264" w:lineRule="auto"/>
        <w:jc w:val="both"/>
        <w:rPr>
          <w:rFonts w:asciiTheme="minorEastAsia" w:eastAsiaTheme="minorEastAsia" w:hAnsiTheme="minorEastAsia" w:cs="맑은 고딕"/>
          <w:sz w:val="20"/>
          <w:szCs w:val="20"/>
          <w:lang w:eastAsia="ko-KR"/>
        </w:rPr>
      </w:pPr>
    </w:p>
    <w:p w14:paraId="7A23DCED" w14:textId="7E56479F"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극소량 이상의 이산화티타늄이 면역 반응을 일으킬 수 있는 살아있는 조직에 도달하지 못하는 것은 이 성분에 대한 피부 자극, 감작 반응 및 광안전성 문제를 예방한다. 이산화티타늄에 대한 이용 가능한 문헌을 검색한 결과, 설치류의 피부에 이산화티타늄을 적용한 후 피부 독성은 미미한 것으로 나타났다(Adachi외 공저 2010년; Adachi외 공저 2013년; Unnithan외 공저 2011a년; Unnithan외 공저 2011b년). 따라서 이 성분의 안전성을 뒷받침하기 위해 추가적인 임상적 광안전성, 자극 또는 감작성 연구가 필요하다고 판단하지 않는다. 이산화티타늄에 대한 이용 가능한 연구는 이산화티타늄 농도가 최대 10%인 제품을 평가한다. 이산화티타늄의 물리적 특성으로 인해 농도에 관계없이 인체 피부로 침투할 수 없으며, 이산화티타늄 노출과 관련된 피부 광안전성, 자극 또는 감작이 발생할 가능성이 낮(고 더 높은 농도에서 이러한 광안전성, 자극 또는 감작이 발생할 수 있음을 제안하는 데이터가 없)다는 점을 고려할 때, 이산화티타늄은 입자 크기에 관계없이 1999년 최종 모노그래프에 명시된 수준과 일치하는 최대 25%의 농도로 자외선차단제에 사용하기 위해 GRASE라고 제안한다.</w:t>
      </w:r>
    </w:p>
    <w:p w14:paraId="33A1C32F" w14:textId="454720B7"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4BEDF80" w14:textId="77777777"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p>
    <w:p w14:paraId="247D877B" w14:textId="33C39FC4" w:rsidR="00D52BAF" w:rsidRPr="002C7F14" w:rsidRDefault="00D52BAF" w:rsidP="00D52BA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이산화티타늄이 자외선차단제에 사용하기 위해 GRASE인지 여부를 평가할 때, 나노크기 이산화티타늄이 광촉매 특성을 보일 수 있음을 나타내는 출판된 문헌을 고려했다(Fujishima외 공저 2000년). 이러한 문헌에 따르면, 이산화티타늄 입자의 결정 구조가 이 광촉매 활성에서 일정 역할을 하며, 아나타제 결정 다형체가 루틸 다형체보다 더 큰 광촉매 활성과 관련이 있는 것으로 나타났다(Fujishima외 공저 2000년). 유럽연합 집행위원회는 광촉매 활성을 최소화하기 위해 이산화티타늄의 아나타제 결정 다형체 비율에 대한 제한을 설정했다.</w:t>
      </w:r>
      <w:r w:rsidRPr="002C7F14">
        <w:rPr>
          <w:rStyle w:val="a7"/>
          <w:rFonts w:asciiTheme="minorEastAsia" w:eastAsiaTheme="minorEastAsia" w:hAnsiTheme="minorEastAsia"/>
          <w:sz w:val="20"/>
          <w:szCs w:val="20"/>
          <w:lang w:eastAsia="ko-KR"/>
        </w:rPr>
        <w:footnoteReference w:id="38"/>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또한 이산화티타늄 입자를 코팅하는 것은 광촉매 활성을 최소화하(고 제품이 혼합되는 방식에 영향을 미칠 수 있는 입자 응집을 제한하)는 것으로 나타났다.</w:t>
      </w:r>
      <w:r w:rsidRPr="002C7F14">
        <w:rPr>
          <w:rStyle w:val="a7"/>
          <w:rFonts w:asciiTheme="minorEastAsia" w:eastAsiaTheme="minorEastAsia" w:hAnsiTheme="minorEastAsia"/>
          <w:sz w:val="20"/>
          <w:szCs w:val="20"/>
          <w:lang w:eastAsia="ko-KR"/>
        </w:rPr>
        <w:footnoteReference w:id="39"/>
      </w:r>
    </w:p>
    <w:p w14:paraId="7EC34B34" w14:textId="77777777" w:rsidR="00D52BAF" w:rsidRPr="002C7F14" w:rsidRDefault="00D52BAF" w:rsidP="00D52BAF">
      <w:pPr>
        <w:spacing w:line="264" w:lineRule="auto"/>
        <w:jc w:val="both"/>
        <w:rPr>
          <w:rFonts w:asciiTheme="minorEastAsia" w:eastAsiaTheme="minorEastAsia" w:hAnsiTheme="minorEastAsia" w:cs="맑은 고딕"/>
          <w:sz w:val="20"/>
          <w:szCs w:val="20"/>
          <w:lang w:eastAsia="ko-KR"/>
        </w:rPr>
      </w:pPr>
    </w:p>
    <w:p w14:paraId="2528FBB5" w14:textId="77777777" w:rsidR="00D52BAF" w:rsidRPr="002C7F14" w:rsidRDefault="00D52BAF" w:rsidP="00D52BA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이론적으로 나노크기 이산화티타늄을 함유한 자외선차단제가 빛에 노출되었을 때 광촉매 활성이 발생하면, 이러한 제품의 다른 자외선 차단 활성성분이 분해될 수 있다. 그러나 이러한 현상이 이산화티타늄을 함유한 자외선차단제에서 실제로 발생하거나 광촉매 활성으로 인한 다른 부정적인 영향이 있다는 증거는 없다. 따라서 광촉매 활성 가능성은 이산화티타늄이 자외선차단제에 사용하기 위해 GRASE라는 결론을 약화시키지 않는다. 그럼에도 불구하고 이산화티타늄을 함유한 자외선차단제가 이 성분의 잠재적 광촉매 활성에 의해 부정적인 영향을 받는지 여부 및 그렇다면 이러한 부정적 영향이 어느 정도인지에 대한 의견뿐만 아니라 이러한 잠재적 문제를 해결하는 데 필요한 추가 규제 조건에 대한 의견(근거 데이터 포함)을 요청한다.</w:t>
      </w:r>
    </w:p>
    <w:p w14:paraId="304D254C" w14:textId="77777777" w:rsidR="00D52BAF" w:rsidRPr="002C7F14" w:rsidRDefault="00D52BAF" w:rsidP="00D52BAF">
      <w:pPr>
        <w:spacing w:line="264" w:lineRule="auto"/>
        <w:jc w:val="both"/>
        <w:rPr>
          <w:rFonts w:asciiTheme="minorEastAsia" w:eastAsiaTheme="minorEastAsia" w:hAnsiTheme="minorEastAsia" w:cs="맑은 고딕"/>
          <w:sz w:val="20"/>
          <w:szCs w:val="20"/>
          <w:lang w:eastAsia="ko-KR"/>
        </w:rPr>
      </w:pPr>
    </w:p>
    <w:p w14:paraId="1C90DC1D" w14:textId="4AD51F27"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또한 광촉매 활성을 해결하거나 다른 목적을 위해 사용되는 코팅을 비롯하여 OTC 의약품 검토에 따라 시판된 의약품에 사용되는 모든 비활성성분이 안전하고 의도된 용도에 적합하도록 보장하는 것은 제조업자의 책임이다(연방관보 제21편 제330.1(e)조 참조).</w:t>
      </w:r>
      <w:r w:rsidRPr="002C7F14">
        <w:rPr>
          <w:rStyle w:val="a7"/>
          <w:rFonts w:asciiTheme="minorEastAsia" w:eastAsiaTheme="minorEastAsia" w:hAnsiTheme="minorEastAsia"/>
          <w:sz w:val="20"/>
          <w:szCs w:val="20"/>
          <w:lang w:eastAsia="ko-KR"/>
        </w:rPr>
        <w:footnoteReference w:id="40"/>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FDA는 제조업자가 국소 자외선차단제에 사용하기 위해 고려 중인 특정 코팅과 관련하여 본 기관에 연락할 것을 권장한다.</w:t>
      </w:r>
    </w:p>
    <w:p w14:paraId="59B0AC60" w14:textId="69D1CF1E"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31038F7C" w14:textId="0DE84936"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319E821" w14:textId="77777777" w:rsidR="00D52BAF" w:rsidRPr="002C7F14" w:rsidRDefault="00D52BAF" w:rsidP="008E4E2D">
      <w:pPr>
        <w:pStyle w:val="30"/>
        <w:keepNext w:val="0"/>
        <w:numPr>
          <w:ilvl w:val="0"/>
          <w:numId w:val="13"/>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결론</w:t>
      </w:r>
    </w:p>
    <w:p w14:paraId="234D48C1" w14:textId="23EB1E65"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생리적 조건에서 불용성이고 반응하지 않는 이산화티타늄의 화학적 특성 및 이산화티타늄이 피부에 침투하거나 체순환에 유의미한 정도로 유입되지 않음을 보여주는 이용 가능한 연구를 고려할 때, 이용 가능한 안전성 데이터는 이산화티타늄이 자외선차단제에 사용하기 위해 GRASE라는 제안을 뒷받침하기에 충분하다고 판단한다. 산화아연과 마찬가지로, 본 기관의 제안은 이산화티타늄이 피부로 흡수될 가능성이 매우 낮고 이론적으로 발생할 수 있는 최소한의 흡수가 건강에 악영향을 미치지 않음을 보여주는 데이터에 상당 부분 의존한다. 결과적으로 이 성분의 안전역은 크고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B.ii.3에서 논의한 소아 연구에 대한 접근방식과 일치하므로, 이 성분에 대한 소아 연구가 불필요하다고 판단한다.</w:t>
      </w:r>
    </w:p>
    <w:p w14:paraId="6C8B7BCD" w14:textId="3E194881"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2EF5D63B" w14:textId="77777777" w:rsidR="00D52BAF" w:rsidRPr="002C7F14" w:rsidRDefault="00D52BAF" w:rsidP="00D52BAF">
      <w:pPr>
        <w:pStyle w:val="a8"/>
        <w:numPr>
          <w:ilvl w:val="0"/>
          <w:numId w:val="11"/>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안전성 문제를 보여주는 데이터로 인해 GRASE가 아닌 것으로 제안된 성분</w:t>
      </w:r>
    </w:p>
    <w:p w14:paraId="6AFF5F64" w14:textId="28285101"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FDA가 PABA 및 트롤아민 살리실레이트에 대한 이용 가능한 안전성 데이터를 검토한 결과, 이러한 성분을 자외선차단제에 사용하는 것과 관련된 위험이 이점보다 크다는 결론을 내렸다. 따라서 이러한 성분을 함유한 자외선차단제는 GRASE가 아니라는 증거가 있기 때문에, FD&amp;C법 제505G(b)(1)(C)(i)조에 따라 전술한 두 성분을 함유한 자외선차단제가 GRASE가 아님을 제안하고 있다.</w:t>
      </w:r>
    </w:p>
    <w:p w14:paraId="07867FAC" w14:textId="4DDCA461" w:rsidR="00FF5933" w:rsidRPr="002C7F14" w:rsidRDefault="00FF5933" w:rsidP="00EF791F">
      <w:pPr>
        <w:spacing w:line="264" w:lineRule="auto"/>
        <w:jc w:val="both"/>
        <w:rPr>
          <w:rFonts w:asciiTheme="minorEastAsia" w:eastAsiaTheme="minorEastAsia" w:hAnsiTheme="minorEastAsia" w:cs="맑은 고딕"/>
          <w:sz w:val="20"/>
          <w:szCs w:val="20"/>
          <w:lang w:eastAsia="ko-KR"/>
        </w:rPr>
      </w:pPr>
    </w:p>
    <w:p w14:paraId="6E0170E9" w14:textId="4368A00F" w:rsidR="00D52BAF" w:rsidRPr="002C7F14" w:rsidRDefault="00D52BAF" w:rsidP="008E4E2D">
      <w:pPr>
        <w:pStyle w:val="a8"/>
        <w:numPr>
          <w:ilvl w:val="0"/>
          <w:numId w:val="14"/>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파라-아미노벤조산</w:t>
      </w:r>
    </w:p>
    <w:p w14:paraId="249AEE3D" w14:textId="77777777" w:rsidR="00FF5933" w:rsidRPr="002C7F14" w:rsidRDefault="00D52BAF" w:rsidP="00D52BA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최근 몇 년 동안 PABA 사용은 특히 피부에 미치는 부작용, 의류 변색 및 얼룩이 생기는 효과 등으로 인해 크게 감소했다. 미국에서 판매되는 700개 이상의 자외선차단제 브랜드를 검토한 결과(FDA 2019c년), PABA는 실제로 더 이상 미국에서 판매되지 않는 것으로 나타났다.</w:t>
      </w:r>
    </w:p>
    <w:p w14:paraId="1DBC22F3" w14:textId="55958324"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6E9A8477" w14:textId="40C3652A" w:rsidR="00D52BAF" w:rsidRPr="002C7F14" w:rsidRDefault="00D52BAF" w:rsidP="00D52BA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과학 문헌, 자외선차단제 모노그래프 문서철 제출물, FDA 및 유럽의약품청의 의약품 허가 문서, FAERS에 제출된 부작용 보고서 및 FDA 자문위원회 회의보고서(다른 출처 중 하나)를 검색한 결과, PABA를 함유한 자외선차단제는 GRASE가 아니라는 결론을 뒷받침하는 임상 안전성 데이터가 도출되었다. 이용 가능한 임상 정보에는 PABA에 대한 알레르기 및 광알레르기 피부 반응에 대한 상당수의 보고가 포함되며, PABA 유발 피부 반응률은 잠재적으로 8% 이상이다(Balogh외 공저 2011년; Gao외 공저 2014년; Trevisi외 공저 1994년; Victor외 공저 2010년). 8%의 발생률은 심각한 문제이다. 이에 비해 1969년 이후 FAERS에서 자외선차단제와 관련된 과민반응은 34건에 불과한 것으로 확인되었다.</w:t>
      </w:r>
      <w:r w:rsidRPr="002C7F14">
        <w:rPr>
          <w:rStyle w:val="a7"/>
          <w:rFonts w:asciiTheme="minorEastAsia" w:eastAsiaTheme="minorEastAsia" w:hAnsiTheme="minorEastAsia"/>
          <w:sz w:val="20"/>
          <w:szCs w:val="20"/>
          <w:lang w:eastAsia="ko-KR"/>
        </w:rPr>
        <w:footnoteReference w:id="41"/>
      </w:r>
    </w:p>
    <w:p w14:paraId="63D4E520" w14:textId="7966EFC9" w:rsidR="00DC5582" w:rsidRPr="002C7F14" w:rsidRDefault="00DC5582" w:rsidP="00EF791F">
      <w:pPr>
        <w:spacing w:line="264" w:lineRule="auto"/>
        <w:jc w:val="both"/>
        <w:rPr>
          <w:rFonts w:asciiTheme="minorEastAsia" w:eastAsiaTheme="minorEastAsia" w:hAnsiTheme="minorEastAsia" w:cs="맑은 고딕"/>
          <w:sz w:val="20"/>
          <w:szCs w:val="20"/>
          <w:lang w:eastAsia="ko-KR"/>
        </w:rPr>
      </w:pPr>
    </w:p>
    <w:p w14:paraId="32C9F808" w14:textId="5742BA58"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2E4842D"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PABA는 구조적으로 유사한 방향족 아민 및 니트로 화합물에 교차 감작을 일으킬 수 있는 능력이 있다(즉, PABA에 노출된 개인이 유사한 화합물에 대한 민감 반응을 일으킬 수 있음)(Willis 1976년). 문제가 되는 화합물 목록에는 설폰아마이드 항생제(일반적으로 요로 감염에서 특정 유형의 폐렴에 이르기까지 다양한 감염을 치료하는 데 사용됨), 티아지드 이뇨제(특정 지역사회에서 고혈압에 가장 권장되는 치료제), 특정 국소 마취제(벤조카인 및 프로카인 등), 염색제(파라-페닐렌디아민(염모제) 및 아닐린 염료(의료 제품에 사용됨) 포함)와 같이 널리 사용되는 다양한 제품이 포함된다(Fisher 1992년; Mackie 및 Mackie 1999년; Pathak 1982년). 이러한 제품에 대한 교차 감작은 심각한 문제이며, 광범위한 PABA 사용은 이러한 약제와의 교차 반응성을 크게 증가시키고 알레르기성 및 광알레르기성 피부염이 발생할 수 있으며, 이 중 일부는 심각할 가능성이 높다.</w:t>
      </w:r>
    </w:p>
    <w:p w14:paraId="23AF873E"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1FE427A6"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안전 문제만으로도 자외선차단제에 사용하기 위해 GRASE가 아닌 것으로 판단하기에 충분한 이유가 된다. 또한 PABA를 국소 적용한 피험자의 소변 샘플에서 확보한 데이터에 따르면, PABA가 피부에 침투하여 체순환에 유입되는 것으로 나타났다(Wang외 공저 2007년). PABA에 대한 전체 MUsT 연구가 수행되지 않았기 때문에, 이러한 경피 흡수가 어느 정도 발생하는지는 불분명하다. 그러나 출판된 문헌의 한 논문은 자가면역질환과 PABA 사용 간에 연관성이 있다고 제안하며(Mackie 및 Mackie 1999년), PABA를 경구 투여한 후 간독성(Borum외 공저 1991년) 및 만성 간질성 신염(Alexopoulos외 공저 1993년)이 각각 한 건씩 보고되었음을 발견했다. 이러한 단일 보고에 근거하여 인과관계를 판단하기는 어렵지만, MUsT 프로그램이 PABA 흡수를 보여준다면 이러한 보고는 추가 안전성 문제를 나타낼 수 있다.</w:t>
      </w:r>
    </w:p>
    <w:p w14:paraId="0ED1C1C8"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2003CB28"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PABA 사용에 따른 유전독성 결과는 UV 조사가 없는 경우 대체로 음성이었다. PABA의 피부 발암성에 대한 적절한 평가는 DART 연구와 마찬가지로 제공되지 않았다. 따라서 MUsT 프로그램이 PABA의 흡수를 보여준다면, 필요한 연구에는 피부 및 전신 발암성 연구, DART 연구, 독성동태 연구가 포함된다. 그러나 위에서 설명한 PABA 관련 안전성 문제는 증거에 따라 PABA를 함유한 자외선차단제가 GRASE가 아니라고 FDA가 판단할 만큼 충분히 중요하다는 점을 고려할 때, 이러한 시험을 수행하는 것은 적절하지도 윤리적이지도 않다. 이에 따라 PABA는 FD&amp;C법 제505G(b)(1)(C)(i)조에 따라 PABA가 자외선차단제에 사용하기 위해 GRASE가 아니라고 제안한다.</w:t>
      </w:r>
    </w:p>
    <w:p w14:paraId="4C958B88"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2016BD9F" w14:textId="77777777" w:rsidR="006115E6" w:rsidRPr="002C7F14" w:rsidRDefault="006115E6" w:rsidP="008E4E2D">
      <w:pPr>
        <w:pStyle w:val="a8"/>
        <w:numPr>
          <w:ilvl w:val="0"/>
          <w:numId w:val="14"/>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트롤아민 살리실레이트</w:t>
      </w:r>
    </w:p>
    <w:p w14:paraId="35F3AD44" w14:textId="363894D7" w:rsidR="00DC5582"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트롤아민 살리실레이트는 FD&amp;C법 제505G(b)(1)(C)(i)조에 따라 자외선차단제에 사용하기 위해 GRASE가 아니라고 제안한다. 아래에서 더 자세히 설명된 바와 같이, 자외선차단제에 트롤아민 살리실레이트를 사용하는 것과 관련된 상당한 안전성 문제가 있다. 이러한 우려사항은 증거에 따라 트롤아민 살리실레이트를 함유한 자외선차단제가 GRASE가 아니라는 결론을 뒷받침하기에 충분하다고 제안한다.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PABA와 마찬가지로 미국에서 판매되는 700개 이상의 자외선차단제 브랜드를 검토 결과, 트롤아민 살리실레이트는 더 이상 미국에서 판매되는 자외선차단제에서 시판되지 않는 것으로 나타났다(FDA 2019c년).</w:t>
      </w:r>
    </w:p>
    <w:p w14:paraId="4407EA6E" w14:textId="4D698EA0"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5916731" w14:textId="77777777"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p>
    <w:p w14:paraId="1FF24D10" w14:textId="77777777" w:rsidR="006115E6" w:rsidRPr="002C7F14" w:rsidRDefault="006115E6" w:rsidP="008E4E2D">
      <w:pPr>
        <w:pStyle w:val="30"/>
        <w:keepNext w:val="0"/>
        <w:numPr>
          <w:ilvl w:val="0"/>
          <w:numId w:val="1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배경</w:t>
      </w:r>
    </w:p>
    <w:p w14:paraId="2D833129"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트롤아민 살리실레이트는 트롤아민과 살리실산으로 구성되어 있다. 살리실산은 비스테로이드성 소염제(NSAID)로 아스피린의 활성성분이며, 진통제(통증 완화), 해열제(열 내림) 및 소염제로 널리 사용되어 왔다. 이러한 특성 외에도 살리실산은 혈소판 응집을 억제하여 혈액 응고를 억제한다. 이러한 이유로 일부 살리실산 함유 제품(예: 아스피린)은 소비자가 심근경색, 스텐트 혈전증 및 일과성 허혈 발작을 비롯한 심혈관 부작용을 줄이는 데 사용된다.</w:t>
      </w:r>
    </w:p>
    <w:p w14:paraId="1D01BD46"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66C6F5ED" w14:textId="418C3382"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트롤아민 살리실레이트는 최대 12% 농도로 자외선차단제에 대한 최종 모노그래프에 포함되었다. OTC 외용 진통제에 대한 잠정 최종 모노그래프</w:t>
      </w:r>
      <w:r w:rsidRPr="002C7F14">
        <w:rPr>
          <w:rStyle w:val="a7"/>
          <w:rFonts w:asciiTheme="minorEastAsia" w:eastAsiaTheme="minorEastAsia" w:hAnsiTheme="minorEastAsia"/>
          <w:sz w:val="20"/>
          <w:szCs w:val="20"/>
          <w:lang w:eastAsia="ko-KR"/>
        </w:rPr>
        <w:footnoteReference w:id="42"/>
      </w:r>
      <w:r w:rsidRPr="002C7F14">
        <w:rPr>
          <w:rFonts w:asciiTheme="minorEastAsia" w:eastAsiaTheme="minorEastAsia" w:hAnsiTheme="minorEastAsia" w:hint="eastAsia"/>
          <w:sz w:val="20"/>
          <w:szCs w:val="20"/>
          <w:lang w:eastAsia="ko-KR"/>
        </w:rPr>
        <w:t>에서는 GRASE 결과를 뒷받침하기 위해 추가 데이터가 필요했기 때문에 GRASE가 아닌 것으로 제안되었다("인체용 일반의약품 외용 진통제; 잠정 최종 모노그래프", 연방관보 48권 5852~5855 페이지(1983년 2월 8일)(외용 진통제 TFM). 이 두 가지 의약품 범주에 대한 트롤아민 살리실레이트의 작용기전은 매우 다르다. 외용 진통제로서 효과적이려면, 트롤아민 살리실레이트가 피부에 침투하여 관련 작용 부위에 도달해야 한다. 이용 가능한 증거는 트롤아민 살리실레이트가 경피적으로 흡수된다는 것을 명확히 입증한다(Rose 및 Wiemer 1983년; Madan 및 Levitt 2014년). 그러나 자외선차단제로서 효과적이려면, 트롤아민 살리실레이트가 피부 표면에 존재하여 자외선을 반사, 산란 또는 흡수할 수 있어야 한다.</w:t>
      </w:r>
    </w:p>
    <w:p w14:paraId="79D57A95"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259B59F8" w14:textId="7C157591" w:rsidR="006115E6"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두 제품 범주의 사용 지침도 크게 다르다. 자외선차단제에 대한 현행 라벨링 요구사항은 햇빛에 노출된 모든 피부에 적용해야 하고, 피부암 및 조기 피부 노화 위험을 줄이기 위해 "정기적으로" 사용해야 하며</w:t>
      </w:r>
      <w:r w:rsidRPr="002C7F14">
        <w:rPr>
          <w:rStyle w:val="a7"/>
          <w:rFonts w:asciiTheme="minorEastAsia" w:eastAsiaTheme="minorEastAsia" w:hAnsiTheme="minorEastAsia"/>
          <w:sz w:val="20"/>
          <w:szCs w:val="20"/>
          <w:lang w:eastAsia="ko-KR"/>
        </w:rPr>
        <w:footnoteReference w:id="43"/>
      </w:r>
      <w:r w:rsidRPr="002C7F14">
        <w:rPr>
          <w:rFonts w:asciiTheme="minorEastAsia" w:eastAsiaTheme="minorEastAsia" w:hAnsiTheme="minorEastAsia" w:hint="eastAsia"/>
          <w:sz w:val="20"/>
          <w:szCs w:val="20"/>
          <w:lang w:eastAsia="ko-KR"/>
        </w:rPr>
        <w:t>, 최소 2시간마다 다시 적용해야 한다는 지침을 포함한다(최종간주명령의 § M020.50(e)). 반면, 현재 시판되고 있는 트롤아민 살리실레이트 함유 외용 진통제는 "환부"에 적용해야 하고, 하루에 3~4회 이상 사용해서는 안 되며, 7일 후에는 사용을 중단해야 한다는 사용 지침을 포함한다.</w:t>
      </w:r>
      <w:r w:rsidRPr="002C7F14">
        <w:rPr>
          <w:rStyle w:val="a7"/>
          <w:rFonts w:asciiTheme="minorEastAsia" w:eastAsiaTheme="minorEastAsia" w:hAnsiTheme="minorEastAsia"/>
          <w:sz w:val="20"/>
          <w:szCs w:val="20"/>
          <w:lang w:eastAsia="ko-KR"/>
        </w:rPr>
        <w:footnoteReference w:id="44"/>
      </w:r>
      <w:r w:rsidRPr="002C7F14">
        <w:rPr>
          <w:rFonts w:asciiTheme="minorEastAsia" w:eastAsiaTheme="minorEastAsia" w:hAnsiTheme="minorEastAsia" w:cs="맑은 고딕"/>
          <w:sz w:val="20"/>
          <w:szCs w:val="20"/>
          <w:lang w:eastAsia="ko-KR"/>
        </w:rPr>
        <w:t xml:space="preserve"> </w:t>
      </w:r>
    </w:p>
    <w:p w14:paraId="035F89D5" w14:textId="03376F8C"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p>
    <w:p w14:paraId="00BF060F" w14:textId="6257CCDA"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41BE6AB5" w14:textId="77777777" w:rsidR="006115E6" w:rsidRPr="002C7F14" w:rsidRDefault="006115E6" w:rsidP="008E4E2D">
      <w:pPr>
        <w:pStyle w:val="30"/>
        <w:keepNext w:val="0"/>
        <w:numPr>
          <w:ilvl w:val="0"/>
          <w:numId w:val="1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트롤아민 살리실레이트를 자외선차단제로 사용하는 것과 관련된 중요한 안전 문제</w:t>
      </w:r>
    </w:p>
    <w:p w14:paraId="41108975"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트롤아민 살리실레이트를 자외선차단제의 활성성분으로 사용하면 살리실산의 항응고 효과로 인해 심각한 건강 악영향을 초래할 수 있다고 우려한다. FDA는 트롤아민 살리실레이트를 넉넉히 피부에 적용하는 것과 관련된 심각한 응고 관련 부작용에 대한 두 가지 사례 보고를 발견했다. 첫 번째 사례는 국소 트롤아민 살리실레이트 사용과 관련하여 수술 부위의 응고장애(혈액의 응고 능력 손상)를 경험한 수술 환자였다(Rose 및 Wiemer 1983년). 환자는 의사의 지시에 따라 수술 2주 전에 아스피린 사용을 중단했지만, 트롤아민 살리실레이트가 함유된 국소 크림 사용도 중단했어야 한다는 사실을 알지 못했고, 수술 전 관절염 통증으로 인해 계속해서 이 크림을 넉넉히 발랐다. 수술 4시간 후, 환자는 수술을 받은 모든 부위에서 엄청난 출혈이 발생하고 대규모 양측 혈종을 경험하여 다시 수술실로 돌아왔다. 이 환자는 900ml 이상의 혈액을 잃었다.</w:t>
      </w:r>
    </w:p>
    <w:p w14:paraId="32761B6E"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78072133"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두 번째 사례에서 심방세동 및 뇌졸중 예방을 위해 와파린(항응고제)을 복용하는 환자는 통증 완화를 위해 목과 어깨에 트롤아민 살리실레이트를 넉넉히 적용한 후 프로트롬빈 시간(즉, 혈액이 응고하는 데 걸리는 시간)이 상당히 증가했다(Littleton 1990년). 환자의 프로트롬빈 시간은 이전에 대조군 대비 1.3~1.5배의 치료 범위에 있었지만, 트롤아민 살리실레이트를 사용하는 동안 대조군 대비 2.5배로 증가했다. 트롤아민 살리실레이트를 중단하자 환자의 프로트롬빈 시간은 대조군 대비 1.3배로 돌아갔다.</w:t>
      </w:r>
    </w:p>
    <w:p w14:paraId="4491A45A"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225AF03B" w14:textId="54724BBA"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FDA는 트롤아민 살리실레이트를 함유한 자외선차단제가 살리실산 노출과 관련된 다른 부작용을 일으킬 수 있다고 우려한다. 여기에는 위장 장애 및 출혈, 이독성 영향(즉, 청력에 미치는 영향), 과민반응, 천식 악화, 산-염기 불균형, 염분 및 수분 저류, 간 손상 및 (어린이의) 라이증후군이 포함된다. 고용량에서 급성 살리실레이트 독성(살리실리산 중독)이 발생할 수 있다. 살리실리산 중독의 초기 증상으로는 이명, 현기증, 메스꺼움, 구토, 설사 등이 있으며, 더 심각한 중독을 시사하는 후속 증상에는 (흥분에서 무기력에 이르는) 정신상태 변화, 초고열, 비심장성 폐부종 및 혼수상태가 있다.</w:t>
      </w:r>
      <w:r w:rsidRPr="002C7F14">
        <w:rPr>
          <w:rStyle w:val="a7"/>
          <w:rFonts w:asciiTheme="minorEastAsia" w:eastAsiaTheme="minorEastAsia" w:hAnsiTheme="minorEastAsia"/>
          <w:sz w:val="20"/>
          <w:szCs w:val="20"/>
          <w:lang w:eastAsia="ko-KR"/>
        </w:rPr>
        <w:footnoteReference w:id="45"/>
      </w:r>
      <w:r w:rsidRPr="002C7F14">
        <w:rPr>
          <w:rFonts w:asciiTheme="minorEastAsia" w:eastAsiaTheme="minorEastAsia" w:hAnsiTheme="minorEastAsia"/>
          <w:sz w:val="20"/>
          <w:szCs w:val="20"/>
          <w:lang w:eastAsia="ko-KR"/>
        </w:rPr>
        <w:t xml:space="preserve"> </w:t>
      </w:r>
    </w:p>
    <w:p w14:paraId="15BED19E"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52F73FC8" w14:textId="37B0D16F" w:rsidR="006115E6"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트롤아민 살리실레이트를 햇빛에 노출된 모든 피부에 적용하고 자외선차단제 라벨에 지시된 대로 매 2시간마다 다시 적용하는 경우, 경피 흡수 가능성 및 상당량의 살리실산의 전신 가용성은 위에서 설명한 이상사례의 발생 가능성이 높아질 수 있다는 상당한 우려를 제기한다.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이는 소염, 진통 또는 해열 효과가 있는 다른 OTC NSAID 제품이 널리 사용되고 있고 트롤아민 살리실레이트를 함유한 자외선차단제 사용이 소비자가 경험하는 항혈소판 효과를 문제 수준으로 높일 수 있다는 점을 감안할 때 특히 우려되는 사항이다. 경피 흡수와 관련된 우려는 특히 성인보다 표면적 대 체중 비율이 높은 어린이에게 심각할 수 있다. FDA는 위에서 설명한 안전성 문제만으로도 트롤아민 살리실레이트가 자외선차단제에 사용하기 위해 GRASE가 아니라는 판단을 뒷받침하기에 충분하다고 제안한다.</w:t>
      </w:r>
    </w:p>
    <w:p w14:paraId="04974E23" w14:textId="3B9D59E0"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p>
    <w:p w14:paraId="1E8DB2F4" w14:textId="15A591B7" w:rsidR="006115E6" w:rsidRPr="002C7F14" w:rsidRDefault="006115E6" w:rsidP="008E4E2D">
      <w:pPr>
        <w:pStyle w:val="30"/>
        <w:keepNext w:val="0"/>
        <w:numPr>
          <w:ilvl w:val="0"/>
          <w:numId w:val="1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데이터 공백</w:t>
      </w:r>
    </w:p>
    <w:p w14:paraId="1138A07C"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FDA가 현재 공개 기록에서는 누락된 자외선차단제에 사용하기 위한 긍정적인 GRASE 판단을 뒷받침하기 위해 필요하다고 예상하는 트롤아민 살리실레이트에 대한 여러 범주의 데이터가 있다. 예를 들어, 트롤아민 살리실레이트에 대한 임상적 피부 감작, 자극 및 광안전성 데이터가 충분하지 않다. 트롤아민 살리실레이트의 경피 흡수는 잘 확립되어 있지만, 현재 기록에는 자외선차단제에 사용될 때 이 성분에 대한 노출 정도를 평가할 수 있는 MUsT 프로그램이 없다. 이러한 데이터는 FDA가 자외선차단제 사용에서 흡수될 가능성이 높은 양의 맥락에서 동물 독성 연구의 전신 독성 결과를 해석할 수 있게 해주기 때문에 중요하다.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 xml:space="preserve">FDA가 자외선차단제 사용에 대한 MUsT 프로그램에 각 피험자의 신체 표면 대부분(최소 75%)에 적용하는 것을 포함하도록 권고한 것을 감안할 때, 위에서 설명한 안전성 문제(트롤아민 살리실레이트의 고용량 노출과 관련된 살리실산 중독 가능성 포함)는 이러한 상황에서 MUsT 프로그램을 수행하는 것에 대한 상당한 윤리적 우려를 제기한다. 이 성분에 대한 MUsT를 윤리적으로 수행하는 것이 가능하고 이러한 MUsT가 트롤아민 살리실레이트의 상당한 경피 흡수를 보인 경우, 이 성분이 자외선차단제로서 효과적으로 기능하기 위해 피부 표면에 충분한 양이 남아 있는지에 대한 의문이 제기될 것이다.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B.ii.2에서 언급한 바와 같이, 이러한 고려사항은 궁극적으로 FDA가 자외선차단제에 활성성분이 GRASE인지 여부를 판단하는 데 사용하는 위험-이익 계산에 영향을 미친다.</w:t>
      </w:r>
    </w:p>
    <w:p w14:paraId="44718020"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4F8F744A" w14:textId="38F06B6A" w:rsidR="006115E6"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살리실레이트의 독성 프로파일을 다루는 데이터가 있지만, 트롤아민에 대한 충분히 상세한 비임상 DART 연구 및 DART 연구를 해석하기 위한 독성동태 데이터는 공개 기록에서 발견되지 않았다. 적절한 DART 정보가 있다면 추가적인 데이터의 필요성(예: 식별 가능한 잠재적 호르몬 영향을 다루기 위한 데이터)을 밝혀낼 수 있을 것이다. 피부 발암성 데이터는 아세톤의 트롤아민 및 트롤아민 단독(원래 형태 그대로 적용)에 대해 국립 독성 프로그램 프로그램에서 이용 가능하다.</w:t>
      </w:r>
      <w:r w:rsidRPr="002C7F14">
        <w:rPr>
          <w:rStyle w:val="a7"/>
          <w:rFonts w:asciiTheme="minorEastAsia" w:eastAsiaTheme="minorEastAsia" w:hAnsiTheme="minorEastAsia"/>
          <w:sz w:val="20"/>
          <w:szCs w:val="20"/>
          <w:lang w:eastAsia="ko-KR"/>
        </w:rPr>
        <w:footnoteReference w:id="46"/>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기존 발암성 연구를 해석할 수 있는 독성동태 데이터가 없기 때문에, 동물 연구에서의 노출이 자외선차단제 활성성분으로 트롤아민 살리실레이트를 사용할 때 발생하는 인간의 트롤아민 노출과 어떻게 관련되는지 판단할 수 없다.</w:t>
      </w:r>
    </w:p>
    <w:p w14:paraId="6B11A247" w14:textId="1E8B5B88"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p>
    <w:p w14:paraId="63432CDF" w14:textId="3D6BAC22" w:rsidR="006115E6" w:rsidRPr="002C7F14" w:rsidRDefault="006115E6"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73BF5472" w14:textId="77777777" w:rsidR="006115E6" w:rsidRPr="002C7F14" w:rsidRDefault="006115E6" w:rsidP="008E4E2D">
      <w:pPr>
        <w:pStyle w:val="30"/>
        <w:keepNext w:val="0"/>
        <w:numPr>
          <w:ilvl w:val="0"/>
          <w:numId w:val="1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결론</w:t>
      </w:r>
    </w:p>
    <w:p w14:paraId="66B761C0" w14:textId="0E1791E7" w:rsidR="006115E6"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위에서 설명한 이유로 FDA는 트롤아민 살리실레이트가 자외선차단제에 사용하기 위해 GRASE가 아니라고 제안한다. 자외선차단제 활성성분으로 트롤아민 살리실레이트를 사용하는 것과 관련된 안전성 문제는 증거에 따라 트롤아민 살리실레이트를 함유한 자외선차단제가 FD&amp;C법 제505G(b)(1)(C)(i)조에 따라 GRASE가 아니라는 판단을 뒷받침할 만큼 충분히 중요하다. 특히 자외선차단제에 트롤아민 살리실레이트를 사용하여 발생하는 노출과 관련된 경피 흡수 가능성 및 상당량의 살리실산의 전신 가용성은 위에서 설명한 심각한 이상사례(살리실산 중독 및 심각한 응고 관련 문제 포함)가 증가할 수 있다는 우려를 제기한다. 또한 기록은 트롤아민 살리실레이트에 대한 긍정적인 GRASE 판정을 뒷받침하기 위해 해결해야 할 몇 가지 중요한 데이터 공백을 포함한다. 그러나 위에서 설명한 안전성 문제를 감안할 때, 자외선차단제로 사용할 수 있도록 이러한 공백을 해결하기 위해 권장된 임상 흡수 시험을 수행하는 것은 윤리적 문제를 제기한다.</w:t>
      </w:r>
    </w:p>
    <w:p w14:paraId="17122CB7" w14:textId="2F4A1657"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p>
    <w:p w14:paraId="21B54C14" w14:textId="77777777" w:rsidR="006115E6" w:rsidRPr="002C7F14" w:rsidRDefault="006115E6" w:rsidP="006115E6">
      <w:pPr>
        <w:pStyle w:val="a8"/>
        <w:numPr>
          <w:ilvl w:val="0"/>
          <w:numId w:val="11"/>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불충분한 데이터로 인해 GRASE가 아닌 것으로 제안된 성분</w:t>
      </w:r>
    </w:p>
    <w:p w14:paraId="4847C160" w14:textId="43345D81" w:rsidR="00D52BAF"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공개 기록은 현재 시녹세이트, 디옥시벤존, 엔술리졸, 호모살레이트, 메라디메이트, 옥티녹세이트, 옥티살레이트, 옥토크릴렌, 파디메이트 O, 술리소벤존, 옥시벤존 또는 아보벤존에 대한 긍정적인 GRASE 판단을 뒷받침할 충분한 데이터를 포함하지 않는다. 따라서 이러한 성분을 함유한 자외선차단제는 GRASE임을 입증하는 증거가 불충분하기 때문에 FD&amp;C법의 제505G(b)(1)(C)(ii)조에 따라 GRASE가 아니라고 제안한다. 이어지는 섹션에서는 이러한 성분에 대한 이용 가능한 안전성 증거 검토에 대해 논의하고 기존 데이터의 공백을 식별한다.</w:t>
      </w:r>
    </w:p>
    <w:p w14:paraId="380AB02E" w14:textId="604AE7BD"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p>
    <w:p w14:paraId="5476CA45" w14:textId="0394085E" w:rsidR="006115E6" w:rsidRPr="002C7F14" w:rsidRDefault="006115E6" w:rsidP="008E4E2D">
      <w:pPr>
        <w:pStyle w:val="a8"/>
        <w:numPr>
          <w:ilvl w:val="0"/>
          <w:numId w:val="16"/>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기록에 중요한 데이터 공백이 있는 성분: 시녹세이트, 디옥시벤존, 엔술리졸, 호모살레이트, 메라디메이트, 옥티녹세이트, 옥티살레이트, 옥토크릴렌, 파디메이트 O, 술리소벤존</w:t>
      </w:r>
    </w:p>
    <w:p w14:paraId="6C3A9F6B" w14:textId="77777777" w:rsidR="006115E6" w:rsidRPr="002C7F14" w:rsidRDefault="006115E6" w:rsidP="006115E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행정 기록에서 가장 중요한 공백은 활성성분 시녹세이트, 디옥시벤존, 엔술리졸, 호모살레이트, 메라디메이트, 옥티녹세이트, 옥티살레이트, 옥토크릴렌, 파디메이트 O, 술리소벤존에 대해 존재한다. 이러한 각 성분의 안전성 및 효과에 대한 일반적인 인정을 뒷받침하기 위해 섹션 </w:t>
      </w:r>
      <w:proofErr w:type="gramStart"/>
      <w:r w:rsidRPr="002C7F14">
        <w:rPr>
          <w:rFonts w:asciiTheme="minorEastAsia" w:eastAsiaTheme="minorEastAsia" w:hAnsiTheme="minorEastAsia" w:hint="eastAsia"/>
          <w:sz w:val="20"/>
          <w:szCs w:val="20"/>
          <w:lang w:eastAsia="ko-KR"/>
        </w:rPr>
        <w:t>VI.B</w:t>
      </w:r>
      <w:proofErr w:type="gramEnd"/>
      <w:r w:rsidRPr="002C7F14">
        <w:rPr>
          <w:rFonts w:asciiTheme="minorEastAsia" w:eastAsiaTheme="minorEastAsia" w:hAnsiTheme="minorEastAsia" w:hint="eastAsia"/>
          <w:sz w:val="20"/>
          <w:szCs w:val="20"/>
          <w:lang w:eastAsia="ko-KR"/>
        </w:rPr>
        <w:t>에 설명된 모든 유형의 연구 데이터를 제출해야 할 것으로 예상한다.</w:t>
      </w:r>
    </w:p>
    <w:p w14:paraId="2002AA5C" w14:textId="77777777" w:rsidR="006115E6" w:rsidRPr="002C7F14" w:rsidRDefault="006115E6" w:rsidP="006115E6">
      <w:pPr>
        <w:spacing w:line="264" w:lineRule="auto"/>
        <w:jc w:val="both"/>
        <w:rPr>
          <w:rFonts w:asciiTheme="minorEastAsia" w:eastAsiaTheme="minorEastAsia" w:hAnsiTheme="minorEastAsia" w:cs="맑은 고딕"/>
          <w:sz w:val="20"/>
          <w:szCs w:val="20"/>
          <w:lang w:eastAsia="ko-KR"/>
        </w:rPr>
      </w:pPr>
    </w:p>
    <w:p w14:paraId="34A915ED" w14:textId="46EE77E8" w:rsidR="00D52BAF" w:rsidRPr="002C7F14" w:rsidRDefault="006115E6" w:rsidP="006115E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FDA의 2019년 규칙안 당시 이러한 활성성분 중 3가지(호모살레이트(Benson외 공저 2005년)), 옥티녹세이트(Benson외 공저 2005년; Janjua외 공저 2008년; Janjua외 공저 2004년; Sarveiva 및 Benson 2004년) 및 옥티살레이트(Benson외 공저 2005년)만 인간 흡수 연구에서 평가된 것으로 보였으며, 이 3가지 성분에 대한 이용 가능한 흡수 연구의 대부분은 상당한 한계가 있었다.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예를 들어, 이 연구들은 제한된 수의 피험자를 사용했거나 제한된 신체 부위에 자외선차단제 활성성분을 한 번만 적용한 것에 기초했다. 이러한 제한된 자외선차단제 노출에도 불구하고, 이러한 연구 중 일부는 활성성분(옥티노세이트(Janjua외 공저 2004년; Sarveiva외 공저 2004년))의 전신 가용성을 보여주었다. 위의 섹션 IV에서 언급한 바와 같이, 2019년 규칙안 이후 FDA는 자외선차단제 성분에 대한 MUsT 연구의 수행 및 실행 가능성을 모델링하기 위해 (시판된 자외선차단제에 배합된) 특정 자외선차단제 성분</w:t>
      </w:r>
      <w:r w:rsidR="001A22C9" w:rsidRPr="002C7F14">
        <w:rPr>
          <w:rStyle w:val="a7"/>
          <w:rFonts w:asciiTheme="minorEastAsia" w:eastAsiaTheme="minorEastAsia" w:hAnsiTheme="minorEastAsia"/>
          <w:sz w:val="20"/>
          <w:szCs w:val="20"/>
          <w:lang w:eastAsia="ko-KR"/>
        </w:rPr>
        <w:footnoteReference w:id="47"/>
      </w:r>
      <w:r w:rsidRPr="002C7F14">
        <w:rPr>
          <w:rFonts w:asciiTheme="minorEastAsia" w:eastAsiaTheme="minorEastAsia" w:hAnsiTheme="minorEastAsia" w:hint="eastAsia"/>
          <w:sz w:val="20"/>
          <w:szCs w:val="20"/>
          <w:lang w:eastAsia="ko-KR"/>
        </w:rPr>
        <w:t>의 흡수에 대한 두 가지 파일럿 연구를 수행했다.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두 연구 모두 이러한 성분이 피부를 통해 혈류로 흡수된다는 본 기관의 이해를 확인했다. 그러나 지금까지 이 섹션에서 논의된 10가지 성분 중 어느 것도 최대 사용 조건에서 활성성분에 대한 전신 노출량을 결정할 수 있는 적절하고 충분히 강력한 MUsT 프로그램에서 연구되지 않았다.</w:t>
      </w:r>
    </w:p>
    <w:p w14:paraId="01AAD0AD" w14:textId="11141CD8"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p>
    <w:p w14:paraId="62B6F266" w14:textId="77777777" w:rsidR="001A22C9" w:rsidRPr="002C7F14" w:rsidRDefault="001A22C9" w:rsidP="001A22C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허가된 의약품에서 활성성분의 녹는점, 분자량 및 경피 전달률 간 관계를 조사한 이전 간행물에 따르면, 녹는점 및 분자량이 이러한 10가지 자외선차단제 활성성분과 유사한 활성성분을 함유한 제품이 성공적으로 경피로 전달되어 전신에서 이용 가능한 것으로 나타났다(Pastore외 공저 2015년). 이러한 자외선차단제 성분의 경피 흡수 및 전신 노출 가능성은 위에서 설명한 두 가지 최근 흡수 연구에서 확인되었다. 이러한 전신 노출은 전술한 활성성분에 대한 전신 노출 수준 또는 이러한 노출의 의도치 않은 잠재적 결과를 결정하기에 이용 가능한 데이터가 부족하기 때문에 우려되는 사항이다. 이 10가지 성분에 대한 만성 노출 독성 데이터가 부족하(고 이에 따라 만성 사용에 따른 피부 및 전신 영향을 평가하는 것이 불가능하)다는 점을 고려할 때, 이는 특히 우려스러운 사항이다. 이러한 활성성분 중 다수는 포유류 분석(호모살레이트(Gomez외 공저 2005년; Schreurs외 공저 2002년; Schlumpf외 공저 2001년; 유럽연합 집행위원회, n.d.; Schreurs외 공저 2005년; Ma외 공저 2003년; Krause외 공저 2012년)) 및 파디메이트 O(연방관보 64권 27666~27671 페이지)), 시험관내 및 체내 분석(호모사라레이트(Gomez외 공저 2005년; Schreurs외 공저 2002년; Schlumpf 외 공저 2001년; 유럽연합 집행위원회, n.d.; Schreurs외 공저 2005년; Ma외 공저 2003년; Krause외 공저 2012년), 옥티녹세이트(Szwarcfarb외 공저 2008년; Seidlova-Wuttke외 공저 2006년), 옥토크릴렌(Freitas외 공저 2015년))에서 호르몬 영향을 나타냈다. 이러한 결과는 예비적인 것에 불과하지만, 이러한 잠재적 호르몬 영향이 발달 및 생식에 미치는 영향을 평가할 수 있는 적절한 DART 연구가 아직 없다.</w:t>
      </w:r>
    </w:p>
    <w:p w14:paraId="1F7E1EBB" w14:textId="77777777" w:rsidR="001A22C9" w:rsidRPr="002C7F14" w:rsidRDefault="001A22C9" w:rsidP="001A22C9">
      <w:pPr>
        <w:spacing w:line="264" w:lineRule="auto"/>
        <w:jc w:val="both"/>
        <w:rPr>
          <w:rFonts w:asciiTheme="minorEastAsia" w:eastAsiaTheme="minorEastAsia" w:hAnsiTheme="minorEastAsia" w:cs="맑은 고딕"/>
          <w:sz w:val="20"/>
          <w:szCs w:val="20"/>
          <w:lang w:eastAsia="ko-KR"/>
        </w:rPr>
      </w:pPr>
    </w:p>
    <w:p w14:paraId="742CBC53" w14:textId="62D40F2A" w:rsidR="001A22C9" w:rsidRPr="002C7F14" w:rsidRDefault="001A22C9" w:rsidP="001A22C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이러한 10가지 성분 중 몇 가지(호모살레이트(Benson외 공저 2005년; Sarveiva 및 Benson 2004년), 옥티녹세이트(Benson외 공저 2005년; Montenegro 및 Puglisi 2013년; Golmohammadzadeh외 공저 2008년; Montenegro외 공저 2008년; Gupta외 공저 1999년;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Hayden외 공저 2005년; Treffel 및 Gabard 1996년), 옥티살레이트(Benson외 공저 2005년; Sarveiva 및 Benson 2004년; Treffel 및 Gabard 1996년; Jiang외 공저 1997년; Walters외 공저 1998년; Walters외 공저 1997년; Santoset외 공저 2012년), 옥토크릴렌(Freitas외 공저 2015년; Potard외 공저 2000년), 파디메이트 O(Hayden외 공저 2005년), 술리소벤존(Kurul 및 Hekimoglu 2001년; Brinon외 공저 1999년))은 피부 침투 연구에서 연구되었으며, (일반적으로 호모살레이트를 제외하고</w:t>
      </w:r>
      <w:r w:rsidRPr="002C7F14">
        <w:rPr>
          <w:rStyle w:val="a7"/>
          <w:rFonts w:asciiTheme="minorEastAsia" w:eastAsiaTheme="minorEastAsia" w:hAnsiTheme="minorEastAsia"/>
          <w:sz w:val="20"/>
          <w:szCs w:val="20"/>
          <w:lang w:eastAsia="ko-KR"/>
        </w:rPr>
        <w:footnoteReference w:id="48"/>
      </w:r>
      <w:r w:rsidRPr="002C7F14">
        <w:rPr>
          <w:rFonts w:asciiTheme="minorEastAsia" w:eastAsiaTheme="minorEastAsia" w:hAnsiTheme="minorEastAsia" w:hint="eastAsia"/>
          <w:sz w:val="20"/>
          <w:szCs w:val="20"/>
          <w:lang w:eastAsia="ko-KR"/>
        </w:rPr>
        <w:t>) 이러한 성분이 표피 및/또는 진피로 침투한다는 것을 보여준다. 이러한 연구는 전술한 성분의 투과 및/또는 침투에 영향을 미치고 잠재적으로 증가시킬 수 있는 여러 요인(기제 조성 및 다른 활성성분의 존재 포함)이 있음을 보여준다.</w:t>
      </w:r>
    </w:p>
    <w:p w14:paraId="7341B1A3" w14:textId="77777777" w:rsidR="001A22C9" w:rsidRPr="002C7F14" w:rsidRDefault="001A22C9" w:rsidP="001A22C9">
      <w:pPr>
        <w:spacing w:line="264" w:lineRule="auto"/>
        <w:jc w:val="both"/>
        <w:rPr>
          <w:rFonts w:asciiTheme="minorEastAsia" w:eastAsiaTheme="minorEastAsia" w:hAnsiTheme="minorEastAsia" w:cs="맑은 고딕"/>
          <w:sz w:val="20"/>
          <w:szCs w:val="20"/>
          <w:lang w:eastAsia="ko-KR"/>
        </w:rPr>
      </w:pPr>
    </w:p>
    <w:p w14:paraId="53AD08CC" w14:textId="3A48B33A" w:rsidR="00D52BAF" w:rsidRPr="002C7F14" w:rsidRDefault="001A22C9" w:rsidP="001A22C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현재 기록에는 안전성을 뒷받침할 만한 충분한 데이터가 없으므로, 시녹세이트, 디옥시벤존, 엔술리졸, 호모살레이트, 메라디메이트, 옥티녹세이트, 옥티살레이트, 옥토크릴렌, 파디메이트 O, 술리소벤존을 함유한 자외선차단제는 관련 증거가 GRASE임을 보여주기에 불충분하기 때문에 FD&amp;C법 제505G(b)(1)(C)(ii)조에 따라 GRASE가 아니라고 제안하고 있다. 앞서 지적한 바와 같이, 섹션 </w:t>
      </w:r>
      <w:proofErr w:type="gramStart"/>
      <w:r w:rsidRPr="002C7F14">
        <w:rPr>
          <w:rFonts w:asciiTheme="minorEastAsia" w:eastAsiaTheme="minorEastAsia" w:hAnsiTheme="minorEastAsia" w:hint="eastAsia"/>
          <w:sz w:val="20"/>
          <w:szCs w:val="20"/>
          <w:lang w:eastAsia="ko-KR"/>
        </w:rPr>
        <w:t>VI.B</w:t>
      </w:r>
      <w:proofErr w:type="gramEnd"/>
      <w:r w:rsidRPr="002C7F14">
        <w:rPr>
          <w:rFonts w:asciiTheme="minorEastAsia" w:eastAsiaTheme="minorEastAsia" w:hAnsiTheme="minorEastAsia" w:hint="eastAsia"/>
          <w:sz w:val="20"/>
          <w:szCs w:val="20"/>
          <w:lang w:eastAsia="ko-KR"/>
        </w:rPr>
        <w:t>에 설명된 모든 유형의 연구에서 얻은 데이터가 자외선차단제에 사용하기 위한 이러한 성분의 안전성 및 효과에 대한 일반적인 인정을 뒷받침하는 데 필요할 것으로 예상한다.</w:t>
      </w:r>
    </w:p>
    <w:p w14:paraId="111028D7" w14:textId="33FB8797" w:rsidR="00D52BAF" w:rsidRPr="002C7F14" w:rsidRDefault="00D52BAF" w:rsidP="00EF791F">
      <w:pPr>
        <w:spacing w:line="264" w:lineRule="auto"/>
        <w:jc w:val="both"/>
        <w:rPr>
          <w:rFonts w:asciiTheme="minorEastAsia" w:eastAsiaTheme="minorEastAsia" w:hAnsiTheme="minorEastAsia" w:cs="맑은 고딕"/>
          <w:sz w:val="20"/>
          <w:szCs w:val="20"/>
          <w:lang w:eastAsia="ko-KR"/>
        </w:rPr>
      </w:pPr>
    </w:p>
    <w:p w14:paraId="4CDDD6A6" w14:textId="77777777" w:rsidR="001A22C9" w:rsidRPr="002C7F14" w:rsidRDefault="001A22C9" w:rsidP="008E4E2D">
      <w:pPr>
        <w:pStyle w:val="a8"/>
        <w:numPr>
          <w:ilvl w:val="0"/>
          <w:numId w:val="16"/>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기록의 데이터 공백이 적은 성분: 옥시벤존 및 아보벤존</w:t>
      </w:r>
    </w:p>
    <w:p w14:paraId="538D6A45" w14:textId="75807BBD" w:rsidR="00D52BAF" w:rsidRPr="002C7F14" w:rsidRDefault="001A22C9" w:rsidP="001A22C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기록에는 현재 옥시벤존과 아보벤존에 대한 긍정적인 GRASE 결과를 뒷받침할 만한 충분한 데이터가 없지만, 이전 섹션에서 논의한 성분보다 이 두 성분에 대한 데이터는 상당히 많다. 나머지 데이터 제출을 용이하게 하기 위해, 아래에서는 이 두 가지 성분에 대한 데이터 공백을 더 자세히 설명한다.</w:t>
      </w:r>
    </w:p>
    <w:p w14:paraId="6CC7B7CC" w14:textId="7B98DE69" w:rsidR="00350E00" w:rsidRPr="002C7F14" w:rsidRDefault="00350E00" w:rsidP="00EF791F">
      <w:pPr>
        <w:spacing w:line="264" w:lineRule="auto"/>
        <w:jc w:val="both"/>
        <w:rPr>
          <w:rFonts w:asciiTheme="minorEastAsia" w:eastAsiaTheme="minorEastAsia" w:hAnsiTheme="minorEastAsia" w:cs="맑은 고딕"/>
          <w:sz w:val="20"/>
          <w:szCs w:val="20"/>
          <w:lang w:eastAsia="ko-KR"/>
        </w:rPr>
      </w:pPr>
    </w:p>
    <w:p w14:paraId="4885FB8E" w14:textId="0F824A45" w:rsidR="001A22C9" w:rsidRPr="002C7F14" w:rsidRDefault="001A22C9" w:rsidP="008E4E2D">
      <w:pPr>
        <w:pStyle w:val="30"/>
        <w:keepNext w:val="0"/>
        <w:numPr>
          <w:ilvl w:val="0"/>
          <w:numId w:val="17"/>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옥시벤존</w:t>
      </w:r>
    </w:p>
    <w:p w14:paraId="42BDD25D" w14:textId="55B83D3A" w:rsidR="001A22C9" w:rsidRPr="002C7F14" w:rsidRDefault="001A22C9" w:rsidP="001A22C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섹션 VI.C.iii.1에서 논의한 성분보다 옥시벤존에 대한 데이터가 훨씬 더 많지만, 과학 문헌 검토, 자외선차단제 모노그래프 문서철 제출물, FAERS를 통해 공개적으로 이용 가능한 시판 후 안전성 데이터를 검토한 결과, 자외선차단제에서 최대 6% 농도로 옥시벤존을 사용하는 것에 대한 긍정적인 GRASE 결과를 뒷받침하는 데 필요할 것으로 예상되는 데이터에 상당한 공백이 있는 것으로 나타났다. 이용 가능한 문헌에는 옥시벤존이 피부를 통해 흡수되어 상당한 전신 노출로 이어질 수 있다는 연구와 모유, 양수, 소변 및 혈장에 옥시벤존이 존재한다는 것을 보여주는 데이터가 포함된다. 옥시벤존의 상당한 전신 가용성(및 아래에서 더 자세히 논의된 바와 같이, 흡수 잠재력의 전체 범위를 평가하는 데이터 부족)은 옥시벤존의 전신 노출로 인한 내분비 활성 가능성에 대해 간행된 문헌에서 제기된 문제들로 인해 우려사항이다. 따라서 옥시벤존이 함유된 자외선차단제에 대한 긍정적인 GRASE 결과는 무엇보다 최대 사용 조건에서 옥시벤존 흡수 정도를 보여주는 적절한 MUsT 프로그램 및 잠재적인 내분비 교란 영향을 완전히 조사하는 DART 연구를 필요로 할 것으로 예상한다. 기존 기록에서는 둘 다 발견되지 않았다.</w:t>
      </w:r>
    </w:p>
    <w:p w14:paraId="073C1F9E" w14:textId="77777777" w:rsidR="001A22C9" w:rsidRPr="002C7F14" w:rsidRDefault="001A22C9" w:rsidP="001A22C9">
      <w:pPr>
        <w:spacing w:line="264" w:lineRule="auto"/>
        <w:jc w:val="both"/>
        <w:rPr>
          <w:rFonts w:asciiTheme="minorEastAsia" w:eastAsiaTheme="minorEastAsia" w:hAnsiTheme="minorEastAsia" w:cs="맑은 고딕"/>
          <w:sz w:val="20"/>
          <w:szCs w:val="20"/>
          <w:lang w:eastAsia="ko-KR"/>
        </w:rPr>
      </w:pPr>
    </w:p>
    <w:p w14:paraId="18F6DAD2" w14:textId="77777777" w:rsidR="001A22C9" w:rsidRPr="002C7F14" w:rsidRDefault="001A22C9" w:rsidP="001A22C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5F8489CA" w14:textId="03EF9369" w:rsidR="001A22C9" w:rsidRPr="002C7F14" w:rsidRDefault="001A22C9" w:rsidP="001A22C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또한 기록에는 옥시벤존에 대한 전신 및 피부 발암성 연구가 부족하다. 이러한 연구(및 독성동태 데이터)도 이 성분에 대한 긍정적인 GRASE 결과를 뒷받침하기 위해 제공되어야 한다. 마지막으로, 이용 가능한 문헌은 소아에서 옥시벤존의 더 높은 흡수 및 생물축적 가능성 때문에 소아에게 옥시벤존 함유 자외선차단제를 사용하는 것의 안전성에 대한 의문을 제기한다. 다음 섹션에 더 자세히 논의된 바와 같이, 이러한 소아 문제를 해결하기 위한 적절한 연구 및/또는 연령 제한에 대한 정보 및 의견을 제출할 것을 권장한다.</w:t>
      </w:r>
    </w:p>
    <w:p w14:paraId="71265E03" w14:textId="21B7D170" w:rsidR="001A22C9" w:rsidRPr="002C7F14" w:rsidRDefault="001A22C9" w:rsidP="00EF791F">
      <w:pPr>
        <w:spacing w:line="264" w:lineRule="auto"/>
        <w:jc w:val="both"/>
        <w:rPr>
          <w:rFonts w:asciiTheme="minorEastAsia" w:eastAsiaTheme="minorEastAsia" w:hAnsiTheme="minorEastAsia" w:cs="맑은 고딕"/>
          <w:sz w:val="20"/>
          <w:szCs w:val="20"/>
          <w:lang w:eastAsia="ko-KR"/>
        </w:rPr>
      </w:pPr>
    </w:p>
    <w:p w14:paraId="75F8B07F" w14:textId="3D35790E" w:rsidR="00706E4D" w:rsidRPr="002C7F14" w:rsidRDefault="00706E4D"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배경</w:t>
      </w:r>
    </w:p>
    <w:p w14:paraId="390BB595" w14:textId="6097E3BB" w:rsidR="001A22C9" w:rsidRPr="002C7F14" w:rsidRDefault="00706E4D" w:rsidP="00706E4D">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주로 UV 방사선을 반사 또는 산란하는 금속 산화물로 구성된 무기(또는 물리적) UV 필터인 산화아연 및 이산화티타늄과 달리, 옥시벤존은 UV 방사선을 흡수하는 유기(또는 화학적) 필터이다. 옥시벤존은 벤조페논으로 알려진 방향족 케톤의 한 종류에 속하며, UVA 및 UVB 파장을 모두 포함하는 UV 흡수 프로파일을 가지고 있다(Burnett 및 Wang 2011년). 뛰어난 UVA 차단 범위로 인해 옥시벤존은 1990년대 초반부터 점점 더 많이 사용되었고 궁극적으로 자외선차단제에서 PABA를 대체했다(Palm 및 O’Donoghue 2007년). PABA 및 그 에스테르가 접촉 및 광접촉 알레르기 반응을 유발한다는 인식으로 인해 "무(무) PABA" 자외선차단제가 시장에 출시되면서 자외선차단제에서 옥시벤존의 사용이 증가했다(Palm 및 O’Donoghue 2007년). 그러나 아래에 논의된 바와 같이, 옥시벤존은 접촉 알레르기 및 광알레르기 가능성이 있다는 증거가 있다(유럽연합 집행위원회 2008년). 옥시벤존은 자외선차단제 활성성분으로 사용되는 것 외에도 향수, 립스틱, 헤어 스프레이, 컨디셔너 등에 광안정제 및/또는 향 강화제로 사용된다(환경실무그룹 2008년; Kadry외 공저 1995년).</w:t>
      </w:r>
    </w:p>
    <w:p w14:paraId="2834A062" w14:textId="05F987F4" w:rsidR="001A22C9" w:rsidRPr="002C7F14" w:rsidRDefault="001A22C9" w:rsidP="00EF791F">
      <w:pPr>
        <w:spacing w:line="264" w:lineRule="auto"/>
        <w:jc w:val="both"/>
        <w:rPr>
          <w:rFonts w:asciiTheme="minorEastAsia" w:eastAsiaTheme="minorEastAsia" w:hAnsiTheme="minorEastAsia" w:cs="맑은 고딕"/>
          <w:sz w:val="20"/>
          <w:szCs w:val="20"/>
          <w:lang w:eastAsia="ko-KR"/>
        </w:rPr>
      </w:pPr>
    </w:p>
    <w:p w14:paraId="2A016D80" w14:textId="77777777" w:rsidR="00EA7940" w:rsidRPr="002C7F14" w:rsidRDefault="00EA7940"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옥시벤존의 경피 흡수 및 상당한 전신 가용성을 보여주는 데이터</w:t>
      </w:r>
    </w:p>
    <w:p w14:paraId="50E13F88" w14:textId="13D298A6" w:rsidR="001A22C9" w:rsidRPr="002C7F14" w:rsidRDefault="00EA7940" w:rsidP="00EA794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1999년 최종 모노그래프가 발표된 이후 이용 가능한 데이터는 옥시벤존의 경피 흡수가 높다는 것을 시사한다(Janjua외 공저 2008년; Calafat외 공저 2008년; Gustavsson외 공저 2002년). 옥시벤존이 함유된 제형을 국소적으로 적용한 후 혈장과 소변을 샘플링하는 한 연구에서 옥시벤존의 흡수 및 상당한 전신 가용성이 나타났다(Janjua외 공저 2008년). 이 연구에서는 남성 15명과 여성 17명에게 하루에 한 번씩 적용하여 4일 동안 신체 표면적의 약 90%에 10% 옥시벤존 크림 제형을 적용했다. 아래 그림은 관찰된 혈장 및 소변 수치를 보여준다.</w:t>
      </w:r>
    </w:p>
    <w:p w14:paraId="3250C82C" w14:textId="601C0D15" w:rsidR="001A22C9" w:rsidRPr="002C7F14" w:rsidRDefault="001A22C9" w:rsidP="00EF791F">
      <w:pPr>
        <w:spacing w:line="264" w:lineRule="auto"/>
        <w:jc w:val="both"/>
        <w:rPr>
          <w:rFonts w:asciiTheme="minorEastAsia" w:eastAsiaTheme="minorEastAsia" w:hAnsiTheme="minorEastAsia" w:cs="맑은 고딕"/>
          <w:sz w:val="20"/>
          <w:szCs w:val="20"/>
          <w:lang w:eastAsia="ko-KR"/>
        </w:rPr>
      </w:pPr>
    </w:p>
    <w:p w14:paraId="2F2EDB50" w14:textId="284EB1D8" w:rsidR="00EA7940" w:rsidRPr="002C7F14" w:rsidRDefault="00EA7940"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04C9B6D6" w14:textId="3E9D9901" w:rsidR="006A0A61" w:rsidRPr="002C7F14" w:rsidRDefault="006A0A61" w:rsidP="006A0A61">
      <w:pPr>
        <w:pStyle w:val="a9"/>
        <w:spacing w:line="264" w:lineRule="auto"/>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그림 </w:t>
      </w:r>
      <w:proofErr w:type="gramStart"/>
      <w:r w:rsidRPr="002C7F14">
        <w:rPr>
          <w:rFonts w:asciiTheme="minorEastAsia" w:eastAsiaTheme="minorEastAsia" w:hAnsiTheme="minorEastAsia" w:hint="eastAsia"/>
          <w:sz w:val="20"/>
          <w:szCs w:val="20"/>
          <w:lang w:eastAsia="ko-KR"/>
        </w:rPr>
        <w:t>1.--</w:t>
      </w:r>
      <w:proofErr w:type="gramEnd"/>
      <w:r w:rsidRPr="002C7F14">
        <w:rPr>
          <w:rFonts w:asciiTheme="minorEastAsia" w:eastAsiaTheme="minorEastAsia" w:hAnsiTheme="minorEastAsia" w:hint="eastAsia"/>
          <w:sz w:val="20"/>
          <w:szCs w:val="20"/>
          <w:lang w:eastAsia="ko-KR"/>
        </w:rPr>
        <w:t>매일 국소 적용 시 옥시벤존의 혈장 농도</w:t>
      </w:r>
    </w:p>
    <w:p w14:paraId="6E09634A" w14:textId="465BFA43" w:rsidR="001A22C9" w:rsidRPr="002C7F14" w:rsidRDefault="006A0A61" w:rsidP="00EC07EE">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noProof/>
          <w:sz w:val="20"/>
          <w:szCs w:val="20"/>
          <w:lang w:eastAsia="ko-KR"/>
        </w:rPr>
        <w:drawing>
          <wp:inline distT="0" distB="0" distL="0" distR="0" wp14:anchorId="519CADC9" wp14:editId="47B88D6B">
            <wp:extent cx="5919470" cy="4017973"/>
            <wp:effectExtent l="0" t="0" r="5080" b="190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923248" cy="4020537"/>
                    </a:xfrm>
                    <a:prstGeom prst="rect">
                      <a:avLst/>
                    </a:prstGeom>
                  </pic:spPr>
                </pic:pic>
              </a:graphicData>
            </a:graphic>
          </wp:inline>
        </w:drawing>
      </w:r>
    </w:p>
    <w:p w14:paraId="27225241" w14:textId="0B18FA94" w:rsidR="001A22C9" w:rsidRPr="002C7F14" w:rsidRDefault="00EC07EE" w:rsidP="00EC07E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출처: Janjua외 공저, 2008년을 토대로 조정한 데이터</w:t>
      </w:r>
    </w:p>
    <w:p w14:paraId="06D86341" w14:textId="36646398" w:rsidR="001A22C9" w:rsidRPr="002C7F14" w:rsidRDefault="001A22C9" w:rsidP="00EF791F">
      <w:pPr>
        <w:spacing w:line="264" w:lineRule="auto"/>
        <w:jc w:val="both"/>
        <w:rPr>
          <w:rFonts w:asciiTheme="minorEastAsia" w:eastAsiaTheme="minorEastAsia" w:hAnsiTheme="minorEastAsia" w:cs="맑은 고딕"/>
          <w:sz w:val="20"/>
          <w:szCs w:val="20"/>
          <w:lang w:eastAsia="ko-KR"/>
        </w:rPr>
      </w:pPr>
    </w:p>
    <w:p w14:paraId="444D93C9" w14:textId="04008676" w:rsidR="00EC07EE" w:rsidRPr="002C7F14" w:rsidRDefault="00EC07EE"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3BE9B2E" w14:textId="62C107A4" w:rsidR="00EC07EE" w:rsidRPr="002C7F14" w:rsidRDefault="00EC07EE" w:rsidP="00EC07EE">
      <w:pPr>
        <w:pStyle w:val="a9"/>
        <w:spacing w:line="264" w:lineRule="auto"/>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그림 </w:t>
      </w:r>
      <w:proofErr w:type="gramStart"/>
      <w:r w:rsidRPr="002C7F14">
        <w:rPr>
          <w:rFonts w:asciiTheme="minorEastAsia" w:eastAsiaTheme="minorEastAsia" w:hAnsiTheme="minorEastAsia" w:hint="eastAsia"/>
          <w:sz w:val="20"/>
          <w:szCs w:val="20"/>
          <w:lang w:eastAsia="ko-KR"/>
        </w:rPr>
        <w:t>2.-</w:t>
      </w:r>
      <w:r w:rsidRPr="002C7F14">
        <w:rPr>
          <w:rFonts w:asciiTheme="minorEastAsia" w:eastAsiaTheme="minorEastAsia" w:hAnsiTheme="minorEastAsia"/>
          <w:sz w:val="20"/>
          <w:szCs w:val="20"/>
          <w:lang w:eastAsia="ko-KR"/>
        </w:rPr>
        <w:t>-</w:t>
      </w:r>
      <w:proofErr w:type="gramEnd"/>
      <w:r w:rsidRPr="002C7F14">
        <w:rPr>
          <w:rFonts w:asciiTheme="minorEastAsia" w:eastAsiaTheme="minorEastAsia" w:hAnsiTheme="minorEastAsia" w:hint="eastAsia"/>
          <w:sz w:val="20"/>
          <w:szCs w:val="20"/>
          <w:lang w:eastAsia="ko-KR"/>
        </w:rPr>
        <w:t>매일 국소 적용 시 옥시벤존의 소변 농도</w:t>
      </w:r>
    </w:p>
    <w:p w14:paraId="23331571" w14:textId="01C1334F" w:rsidR="001A22C9" w:rsidRPr="002C7F14" w:rsidRDefault="00F27C18" w:rsidP="00F27C18">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noProof/>
          <w:sz w:val="20"/>
          <w:szCs w:val="20"/>
          <w:lang w:eastAsia="ko-KR"/>
        </w:rPr>
        <w:drawing>
          <wp:inline distT="0" distB="0" distL="0" distR="0" wp14:anchorId="6BDA0961" wp14:editId="26A6CA79">
            <wp:extent cx="5496279" cy="331012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496279" cy="3310128"/>
                    </a:xfrm>
                    <a:prstGeom prst="rect">
                      <a:avLst/>
                    </a:prstGeom>
                  </pic:spPr>
                </pic:pic>
              </a:graphicData>
            </a:graphic>
          </wp:inline>
        </w:drawing>
      </w:r>
    </w:p>
    <w:p w14:paraId="70876FE1" w14:textId="7D5E430A" w:rsidR="001A22C9" w:rsidRPr="002C7F14" w:rsidRDefault="00F27C18" w:rsidP="00F27C18">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출처: Janjua외 공저(2008년)을 토대로 조정한 데이터</w:t>
      </w:r>
    </w:p>
    <w:p w14:paraId="133CF0A9" w14:textId="02B637DA" w:rsidR="00EC07EE" w:rsidRPr="002C7F14" w:rsidRDefault="00EC07EE" w:rsidP="00EF791F">
      <w:pPr>
        <w:spacing w:line="264" w:lineRule="auto"/>
        <w:jc w:val="both"/>
        <w:rPr>
          <w:rFonts w:asciiTheme="minorEastAsia" w:eastAsiaTheme="minorEastAsia" w:hAnsiTheme="minorEastAsia" w:cs="맑은 고딕"/>
          <w:sz w:val="20"/>
          <w:szCs w:val="20"/>
          <w:lang w:eastAsia="ko-KR"/>
        </w:rPr>
      </w:pPr>
    </w:p>
    <w:p w14:paraId="1F32C3B7" w14:textId="77777777" w:rsidR="00F27C18" w:rsidRPr="002C7F14" w:rsidRDefault="00F27C18" w:rsidP="00F27C18">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연구는 옥시베네존의 상당한 흡수 가능성에 대한 중요한 정보를 제공하지만, MUsT 프로그램의 필요성을 없애지는 않는다. 무엇보다도 하루에 한 번 적용하면 (자외선차단제 라벨에 지시된 대로) 최소 2시간마다 적용하는 것보다 전신 노출이 상당히 낮아질 수 있다. 이러한 적용 빈도의 차이는 2시간 간격의 적용이 관찰된 경우 재적용 시점에 옥시벤존의 수준이 여전히 증가한다는 데이터를 감안할 때 특히 우려되는 사항이다. 또한 이 연구에 사용된 크림 제형은 자외선차단제로 제형화되지 않았으며 일반적으로 자외선차단제 제형에 사용되지 않는 성분을 포함했을 수 있고/있거나 일반적으로 존재하는 다른 성분이 없을 수도 있다. 이 제형은 흡수에 영향을 미칠 수 있기 때문에, 이 연구에서 생성된 흡수 결과는 옥시벤존 함유 자외선차단제의 실제 사용으로 인한 흡수 수준을 반영하지 않을 수 있다.</w:t>
      </w:r>
    </w:p>
    <w:p w14:paraId="2389533B" w14:textId="664AB847" w:rsidR="00F27C18" w:rsidRPr="002C7F14" w:rsidRDefault="00F27C18" w:rsidP="00EF791F">
      <w:pPr>
        <w:spacing w:line="264" w:lineRule="auto"/>
        <w:jc w:val="both"/>
        <w:rPr>
          <w:rFonts w:asciiTheme="minorEastAsia" w:eastAsiaTheme="minorEastAsia" w:hAnsiTheme="minorEastAsia" w:cs="맑은 고딕"/>
          <w:sz w:val="20"/>
          <w:szCs w:val="20"/>
          <w:lang w:eastAsia="ko-KR"/>
        </w:rPr>
      </w:pPr>
    </w:p>
    <w:p w14:paraId="5B8C7553" w14:textId="0AC0923F" w:rsidR="00F27C18" w:rsidRPr="002C7F14" w:rsidRDefault="00F27C18" w:rsidP="00F27C18">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여성 16명과 남성 9명을 대상으로 시판된 4% 옥시벤존 함유 자외선차단제의 경피 흡수를 평가한 또 다른 연구는 국소 노출 후 옥시벤존의 장기적 전신 가용성을 보여주었다(Gustavsson외 공저 2002년). 옥시벤존 흡수에 대한 UV 방사의 영향을 평가하도록 설계된 이 연구에서 자외선차단제는 5일 동안 하루에 두 번 연구 대상자에게 적용되었다. 이 연구는 UV 노출이 옥시벤존의 소변 배출에 상당한 영향을 미치지 않는다는 결론을 내렸지만, 국소 적용 후 옥시벤존의 전신 가용성에 대한 추가 증거를 제공했으며, 마지막으로 자외선차단제를 적용한 후 5일 동안 옥시벤존의 신장 배출이 지속되었음을 보여주었다. 상업용 자외선차단제 제형을 사용하고 하루에 한 번이 아닌 두 번 적용하여 이전 연구에서 사용된 제형 및 적용 빈도보다 개선되었지만, 일일 1회 적용은 실제 사용에서 자외선차단제의 권장된 적용 빈도에 근접하기에 여전히 불충분하다.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또한 이 연구는 자외선차단제 모노그래프에 적합한 옥시벤존의 전체 농도인 6%가 아닌 4% 농도의 자외선차단제를 사용했기 때문에, 그 결과는 6% 옥시벤존을 함유한 제품을 사용했을 때 발생하는 흡수를 완전히 반영하지 못할 수 있다. 자외선차단제에 함유된 옥시벤존의 흡수 가능성을 적절히 특성화하고, 자외선차단제에 최대 6%의 옥시벤존을 사용하는 것에 대한 안전역을 결정하기 위해서는 MUsT 프로그램이 필요할 것을 예상한다. 위에서 지적한 바와 같이, 옥시벤존의 흡수는 앞서 언급한 FDA가 수행한 파일럿 흡수 연구에서 평가되었지만, 이 연구는 이 성분에 대한 전체 MUsT 프로그램의 필요성을 배제할 만큼 충분히 강력하지 않았다.</w:t>
      </w:r>
    </w:p>
    <w:p w14:paraId="16735AD3" w14:textId="77777777" w:rsidR="00F27C18" w:rsidRPr="002C7F14" w:rsidRDefault="00F27C18" w:rsidP="00EF791F">
      <w:pPr>
        <w:spacing w:line="264" w:lineRule="auto"/>
        <w:jc w:val="both"/>
        <w:rPr>
          <w:rFonts w:asciiTheme="minorEastAsia" w:eastAsiaTheme="minorEastAsia" w:hAnsiTheme="minorEastAsia" w:cs="맑은 고딕"/>
          <w:sz w:val="20"/>
          <w:szCs w:val="20"/>
          <w:lang w:eastAsia="ko-KR"/>
        </w:rPr>
      </w:pPr>
    </w:p>
    <w:p w14:paraId="4B8750A1" w14:textId="77777777" w:rsidR="00A9131F" w:rsidRPr="002C7F14" w:rsidRDefault="00A9131F"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옥시벤존의 발달 및 생식 독성에 대한 불충분한 데이터</w:t>
      </w:r>
    </w:p>
    <w:p w14:paraId="212D1711" w14:textId="1B58FFD3" w:rsidR="00A9131F" w:rsidRPr="002C7F14" w:rsidRDefault="00A9131F" w:rsidP="00A913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국소 적용 후 옥시벤존의 상당한 전신 가용성 및 흡수 수준을 완전히 특성화하는 데이터 부족은 옥시벤존이 내분비 활성을 가질 수 있음을 시사하는 문헌((예를 들어 Schlumpf외 공저 2001년; Krause외 공저 2012년; Schlumpf외 공저 2004년) 때문에 우려된다. 쥐와 생쥐를 대상으로 한 (아세톤에 함유된) 옥시벤존의 피부 노출 및 쥐와 생쥐에 대한 옥시벤존의 경구 공급은 국립 독성 프로그램(NTP)에서 수행한 13주 일반 독성 연구에서 수컷의 정자 밀도 감소로 이어졌다(French 1992년). 암컷 쥐와 생쥐를 대상으로 한 13주 경구 공급 연구에서는 발정주기 길이가 증가한 것이 관찰되었다.</w:t>
      </w:r>
      <w:r w:rsidRPr="002C7F14">
        <w:rPr>
          <w:rStyle w:val="a7"/>
          <w:rFonts w:asciiTheme="minorEastAsia" w:eastAsiaTheme="minorEastAsia" w:hAnsiTheme="minorEastAsia"/>
          <w:sz w:val="20"/>
          <w:szCs w:val="20"/>
          <w:lang w:eastAsia="ko-KR"/>
        </w:rPr>
        <w:footnoteReference w:id="49"/>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중요한 것은 옥시벤존이 암컷 생식력에 미치는 실제 영향이 평가되지 않았다는 점이다. 쥐를 대상으로 예비 용량 범위를 찾는 산전 및 산후 발달 연구에서 수컷 자손의 결과는 옥시벤존에 노출된 모든 동물에서 프로그램된 세포 사멸을 겪는 고환 세포가 증가했으며 옥시벤존의 경구 섭취 후 고환의 정자 세포 수가 현저히 감소했음을 보여주었다(Nakamura외 공저 2015년). 이러한 결과는 주목할 만하지만, 모두 아세톤 내 옥시벤존을 사용한 피부 연구와 옥시벤존의 경구 섭취 연구에서 도출되었다. 이러한 노출 방법은 자외선차단제 사용보다 옥시벤존에 대한 전신 노출 수준이 더 높을 수 있다. 따라서 이러한 결과가 자외선차단제 활성성분으로 옥시벤존을 사용하는 것과 관련이 있는지 결정하기 위해서는 MUsT 및 독성동태 데이터가 필요하다.</w:t>
      </w:r>
    </w:p>
    <w:p w14:paraId="59DAB433" w14:textId="77777777" w:rsidR="00A9131F" w:rsidRPr="002C7F14" w:rsidRDefault="00A9131F" w:rsidP="00A9131F">
      <w:pPr>
        <w:spacing w:line="264" w:lineRule="auto"/>
        <w:jc w:val="both"/>
        <w:rPr>
          <w:rFonts w:asciiTheme="minorEastAsia" w:eastAsiaTheme="minorEastAsia" w:hAnsiTheme="minorEastAsia" w:cs="맑은 고딕"/>
          <w:sz w:val="20"/>
          <w:szCs w:val="20"/>
          <w:lang w:eastAsia="ko-KR"/>
        </w:rPr>
      </w:pPr>
    </w:p>
    <w:p w14:paraId="136B87FD" w14:textId="090634BA" w:rsidR="001A22C9" w:rsidRPr="002C7F14" w:rsidRDefault="00A9131F" w:rsidP="00A9131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인간의 경우 옥시벤존의 내분비 영향에 대한 연구는 확정적인 결과를 도출하지 못했다(예를 들어 Janjua외 공저 2004년; Janjua외 공저 2007년; Schiffer외 공저 2014년 참조). 임신부 및 수유부의 바이오모니터링 연구에서 모유, 양수 및 소변 샘플에서 옥시벤존이 검출되었다(Janjua외 공저 2004년; Janjua외 공저 2007년; Schiffer외 공저 2014년). 산모 소변의 높은 옥시벤존 수치는 (1) 여아의 출생 체중 감소 및 (2) 남아의 출생 체중 및 두위 증가와 관련이 있는데, 둘 다 내분비 영향의 징후일 수 있다(Janjua외 공저 2004년). 이러한 연관성은 미국 인구가 옥시벤존에 광범위하게 노출되어 있다는 점을 감안할 때 특히 우려된다. 미국 인구 중 97%의 소변에서 (각종 출처의) 옥시벤존이 존재하며 여성의 옥시벤존 농도가 남성보다 높은 것으로 추정된다(이는 아마도 여성이 옥시벤존 함유 자외선차단제 및 기타 퍼스널케어제품을 사용할 가능성이 높아 누적 노출이 더 크기 때문일 수 있다)(Janjua외 공저 2004년; Callafat외 공저 2008년).</w:t>
      </w:r>
    </w:p>
    <w:p w14:paraId="5D65B2CC" w14:textId="5790CD13"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7F00A24" w14:textId="2CE873D0" w:rsidR="00A9131F" w:rsidRPr="002C7F14" w:rsidRDefault="00A9131F" w:rsidP="00A9131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현재 데이터에 따르면 옥시벤존은 인간의 내분비계에 영향을 미칠 수 있기 때문에, FDA는 옥시벤존에 대한 긍정적인 GRASE 판단을 위해서는 DART 연구(설치류의 생식력 및 초기 배아 연구, 설치류 및 비설치류 종의 배아 발달 연구 및 설치류의 산전 및 산후 발달 연구)를 비롯하여 잠재적 독성을 완전히 조사해야 한다고 생각한다. 또한 아래에 언급된 바와 같이 이러한 연구를 해석하기 위해서는 독성동태 데이터가 필요하다. DART 연구 결과가 잠재적 내분비 교란과 관련하여 문헌에서 제기된 우려를 해결하지 못하는 경우, 추가 시험을 통해 이러한 우려를 해결할 수 있다.</w:t>
      </w:r>
      <w:r w:rsidRPr="002C7F14">
        <w:rPr>
          <w:rStyle w:val="a7"/>
          <w:rFonts w:asciiTheme="minorEastAsia" w:eastAsiaTheme="minorEastAsia" w:hAnsiTheme="minorEastAsia"/>
          <w:sz w:val="20"/>
          <w:szCs w:val="20"/>
          <w:lang w:eastAsia="ko-KR"/>
        </w:rPr>
        <w:footnoteReference w:id="50"/>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또한 옥시벤존의 대사산물이 제기하는 잠재적 위험 때문에(기존 보고서에 따르면, 일부 옥시벤존 대사산물은 모약물보다 호르몬 활성이 더 높은 것으로 나타났음), 이 성분에 대한 긍정적인 GRASE 판단을 뒷받침하기 위해 MUsT 프로그램에 사용된 분석 방법을 모약물 및 관심 대사산물 모두에 대해 검증할 것을 권고한다(Calafat외 공저 2008년). 대사산물 연구 결과는 옥시벤존의 대사산물을 평가하는 추가 비임상 연구를 수행하여 안전성을 뒷받침해야 하는지 여부를 알려줄 것이다.</w:t>
      </w:r>
    </w:p>
    <w:p w14:paraId="7EC1FF8F" w14:textId="77777777" w:rsidR="00A9131F" w:rsidRPr="002C7F14" w:rsidRDefault="00A9131F" w:rsidP="00A9131F">
      <w:pPr>
        <w:spacing w:line="264" w:lineRule="auto"/>
        <w:jc w:val="both"/>
        <w:rPr>
          <w:rFonts w:asciiTheme="minorEastAsia" w:eastAsiaTheme="minorEastAsia" w:hAnsiTheme="minorEastAsia" w:cs="맑은 고딕"/>
          <w:sz w:val="20"/>
          <w:szCs w:val="20"/>
          <w:lang w:eastAsia="ko-KR"/>
        </w:rPr>
      </w:pPr>
    </w:p>
    <w:p w14:paraId="6918345B" w14:textId="73761425" w:rsidR="001A22C9" w:rsidRPr="002C7F14" w:rsidRDefault="00A9131F" w:rsidP="00A9131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2019년 규칙안이 발표된 이후, NTP 및 NCTR은 옥시벤존에 대한 일부 DART 연구에서 진전을 이루었지만, 이 명령안이 작성될 당시 계획된 동료심사를 거친 최종 연구 보고서 중 다수가 발표되지 않았다(국립독성연구센터, n.d.; 국립 독성 프로그램, n.d.). 또한 NCTR 또는 NTP는 비설치류 종에서 배아태아 발달 평가를 수행할 계획이 없다. 전체 DART 연구가 제공되지 않기 때문에, 데이터 공백으로 간주되는 DART 연구가 아래에 제시되어 있다.</w:t>
      </w:r>
    </w:p>
    <w:p w14:paraId="234CBAC1" w14:textId="51A537CF" w:rsidR="001A22C9" w:rsidRPr="002C7F14" w:rsidRDefault="001A22C9" w:rsidP="00EF791F">
      <w:pPr>
        <w:spacing w:line="264" w:lineRule="auto"/>
        <w:jc w:val="both"/>
        <w:rPr>
          <w:rFonts w:asciiTheme="minorEastAsia" w:eastAsiaTheme="minorEastAsia" w:hAnsiTheme="minorEastAsia" w:cs="맑은 고딕"/>
          <w:sz w:val="20"/>
          <w:szCs w:val="20"/>
          <w:lang w:eastAsia="ko-KR"/>
        </w:rPr>
      </w:pPr>
    </w:p>
    <w:p w14:paraId="4BB8008D" w14:textId="77777777" w:rsidR="003745C1" w:rsidRPr="002C7F14" w:rsidRDefault="003745C1"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옥시벤존에 대한 발암성 및 독성동태 데이터 부족</w:t>
      </w:r>
    </w:p>
    <w:p w14:paraId="636D6BDA" w14:textId="415D8191" w:rsidR="003745C1" w:rsidRPr="002C7F14" w:rsidRDefault="003745C1" w:rsidP="003745C1">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옥시벤존에 대한 높은 인구 노출 및 이 성분에 대한 발암성 시험 부족으로 인해 국립암연구소는 1979년에 옥시벤존을 독성 시험 대상으로 지명했다(국립 독성 프로그램 1979년). 2019년 규칙안이 발표된 후, NTP는 쥐와 생쥐를 대상으로 2년간의 (약물이 첨가된 사료를 이용한) 경구 발암성 연구를 완료했다(국립 독성 프로그램, n.d.). 그러나 연구가 자외선차단제로 사용될 때 옥시벤존의 안전성과 어떤 관련이 있는지 해석하기 위한 동물 독성동태 데이터 및 임상 노출 데이터가 없거나 NTP는 이러한 연구를 수행할 계획이 없다.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또한 옥시벤존에 대한 피부 발암성 연구 보고는 없으며, NTP는 피부 발암성 평가를 수행할 계획이 없다. 옥시벤존에 대한 긍정적인 GRASE 판단을 뒷받침하기 위해 잘 수행된 피부 및 전신 발암성 연구의 발암성 데이터가 필요하다. 그러나 NTP 경구 발암성 연구가 전신 발암성에 대한 데이터 공백을 메울 가능성이 있다. 설치류(경구 및 피부)와 토끼(경구)의 독성동태 데이터도 DART 및 발암성 연구를 해석하는 데 필요하다. 독성동태 데이터는 단독 연구에서 또는 DART 및 발암성 연구의 일부로 얻을 수 있다.</w:t>
      </w:r>
    </w:p>
    <w:p w14:paraId="77CF8719" w14:textId="31EDEB06" w:rsidR="003745C1" w:rsidRPr="002C7F14" w:rsidRDefault="003745C1" w:rsidP="003745C1">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02582C62" w14:textId="406636F7" w:rsidR="001A22C9" w:rsidRPr="002C7F14" w:rsidRDefault="003745C1" w:rsidP="003745C1">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이용 가능한 문헌을 검색한 결과, 옥시벤존이 UV 광선이 있는 상태에서 활성산소종(ROS)</w:t>
      </w:r>
      <w:r w:rsidRPr="002C7F14">
        <w:rPr>
          <w:rStyle w:val="a7"/>
          <w:rFonts w:asciiTheme="minorEastAsia" w:eastAsiaTheme="minorEastAsia" w:hAnsiTheme="minorEastAsia"/>
          <w:sz w:val="20"/>
          <w:szCs w:val="20"/>
          <w:lang w:eastAsia="ko-KR"/>
        </w:rPr>
        <w:footnoteReference w:id="51"/>
      </w:r>
      <w:r w:rsidRPr="002C7F14">
        <w:rPr>
          <w:rFonts w:asciiTheme="minorEastAsia" w:eastAsiaTheme="minorEastAsia" w:hAnsiTheme="minorEastAsia" w:hint="eastAsia"/>
          <w:sz w:val="20"/>
          <w:szCs w:val="20"/>
          <w:lang w:eastAsia="ko-KR"/>
        </w:rPr>
        <w:t>을 생성할 수 있다는 정보가 발견되었지만, 이 문제 및 이와 관련된 유해성은 완전히 탐구되지 않았다(Hanson외 공저 2006년). 옥시벤존을 함유한 자외선차단제의 ROS 생성이 어느 정도 우려되는지, 이 주제에 대한 추가 데이터가 필요한지에 대한 의견 및 정보를 제출할 것을 권장한다.</w:t>
      </w:r>
    </w:p>
    <w:p w14:paraId="3CF9BCE2" w14:textId="6A6C65D3"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p>
    <w:p w14:paraId="667C4D7B" w14:textId="77777777" w:rsidR="003745C1" w:rsidRPr="002C7F14" w:rsidRDefault="003745C1"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옥시벤존의 피부 안전성</w:t>
      </w:r>
    </w:p>
    <w:p w14:paraId="49B54E09" w14:textId="77777777" w:rsidR="003745C1" w:rsidRPr="002C7F14" w:rsidRDefault="003745C1" w:rsidP="003745C1">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이용 가능한 데이터에 따르면 옥시벤존(최대 농도 6%)은 자극 및 감작 가능성과 관련하여 유리한 안전성 프로파일을 가지고 있다. 예를 들어, 북미 접촉성 피부염 그룹은 2001년~2010년 사이 알레르기 패치 테스트를 받은 환자들을 대상으로 분석을 수행했다(예: Warshaw외 공저 2013년 참조). 2001년~2008년 사이 옥시벤존은 3%로 시험되었고, 2009년~2010년 사이 시험에 사용된 농도는 10%로 증가했다. 패치 테스트를 받은 23,908명의 환자 중 82명(0.34%)만이 옥시벤존에 대해 양성 패치 테스트 결과를 보였다. 또한 옥시벤존이 함유된 자외선차단제에 대한 과민반응 사례 보고에 대한 FAERS 검색 결과, 1988년~2011년 사이 31건(아나필락시스가 발생한 경우 4건)만 확인되었다. 결정을 내리기에 충분한 데이터가 존재하므로, 최대 6%의 옥시벤존에 대한 긍정적인 GRASE 결과를 뒷받침하기 위해 추가적인 피부 자극 또는 감작 연구가 필요하다고 판단하지 않는다. 그러나 임상 시험 관례에 따라, MUsT 연구 중 옥시벤존에 대한 피부 안전성 데이터를 수집할 것을 권고한다.</w:t>
      </w:r>
    </w:p>
    <w:p w14:paraId="4B7F8DC1" w14:textId="77777777" w:rsidR="003745C1" w:rsidRPr="002C7F14" w:rsidRDefault="003745C1" w:rsidP="003745C1">
      <w:pPr>
        <w:spacing w:line="264" w:lineRule="auto"/>
        <w:jc w:val="both"/>
        <w:rPr>
          <w:rFonts w:asciiTheme="minorEastAsia" w:eastAsiaTheme="minorEastAsia" w:hAnsiTheme="minorEastAsia" w:cs="맑은 고딕"/>
          <w:sz w:val="20"/>
          <w:szCs w:val="20"/>
          <w:lang w:eastAsia="ko-KR"/>
        </w:rPr>
      </w:pPr>
    </w:p>
    <w:p w14:paraId="32B4817A" w14:textId="7FFE108F" w:rsidR="00A9131F" w:rsidRPr="002C7F14" w:rsidRDefault="003745C1" w:rsidP="003745C1">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그럼에도 불구하고, 옥시벤존의 알레르기성 접촉 피부염을 다루는 이용 가능한 연구(예를 들어 Warshaw외 공저 2013년; Ang외 공저 1998년; Bruynzell외 공저 2004년; Bryden외 공저 2006년; Dromgoole 및 Maibach 1990년; 유럽 다기관 광패치 시험 연구(EMCPPTS) 태스크포스 2012년; Heurung외 공저 2014a년; Heurung외 공저 2014b년; Journe외 공저 1999년; Rodriguez외 공저 2006년; Schauder 및 Ippen 1997년; Valbuena외 공저 2016년 참조)의 압도적인 다수에서 도출된 결과에 따르면, 옥시벤존이 기존 피부 질환이 있는 사람에게 알레르겐임을 보여준다. 광과민증이 있는 사람에게 옥시벤존이 광알레르겐이라는 증거가 명확하기 때문에, 이 위험을 특성화하기 위한 추가적인 피부 광안전성 연구는 필요하지 않다. 그러나 옥시벤존에 대한 긍정적인 GRASE 결과를 뒷받침할 만한 충분한 데이터를 얻게 된다면, 옥시벤존 사용과 관련된 알레르기 반응의 위험을 해결하기 위한 라벨링 문구를 요구하는 것을 고려할 것이다. 옥시벤존이 함유된 자외선차단제에 이러한 라벨링을 요구해야 하는지, 그렇다면 이 라벨링이 무엇을 포함해야 하는지에 대한 의견을 요청한다.</w:t>
      </w:r>
    </w:p>
    <w:p w14:paraId="62E0E20B" w14:textId="1452A2FC" w:rsidR="003745C1" w:rsidRPr="002C7F14" w:rsidRDefault="003745C1"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D3B1C68" w14:textId="77777777" w:rsidR="003745C1" w:rsidRPr="002C7F14" w:rsidRDefault="003745C1"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소아 인구의 옥시벤존 사용과 관련된 안전성 문제</w:t>
      </w:r>
    </w:p>
    <w:p w14:paraId="4143616F" w14:textId="3FBD9C12" w:rsidR="00A9131F" w:rsidRPr="002C7F14" w:rsidRDefault="003745C1" w:rsidP="003745C1">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현재 자외선차단제는 생후 6개월 된 소아부터 사용하도록 라벨링되어 있다. 그러나 이용 가능한 문헌에는 소아에게 옥시벤존이 함유된 자외선차단제를 사용하는 것에 대한 우려를 제기하는 여러 출판물이 포함되어 있다. 이러한 출판물 중 스웨덴 연구위원회의 2006년 보고서는 2세 미만의 소아가 옥시벤존을 대사하는 것으로 여겨지는 효소를 완전히 발달시키지 못했다고 지적했는데, 이는 이론상 소아가 성인만큼 쉽게 옥시벤존을 제거할 수 없음을 시사한다. 소아의 생물축적 가능성은 소아의 옥시벤존 흡수가 증가할 가능성(체표면적 대 체중 비율이 더 높기 때문) 및 위에서 논의한 흡수와 관련된 유해성과 더불어 소아에게 옥시벤존 제품을 사용할 때 주의해야 한다는 점을 강조한다.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따라서 2세 미만 소아의 옥시벤존 사용 안전성에 대한 기존 소아 데이터를 찾고 있다. (1) 2세 미만의 소아에 대한 옥시벤존 함유 자외선차단제 사용을 뒷받침하기 위해 (이 연령대의 소아를 대상으로 한 연구 수행에 수반되는 실질적인 장애물을 고려하여) 소아의 옥시벤존 사용 안전성에 대한 추가 데이터가 필요한지 여부 또는 (2) (특히 소아의 안전한 사용에 대해 동일한 문제를 제기하지 않는 이산화티타늄 및 산화아연과 같은 물리적 UV 필터의 자외선차단제 활성성분을 사용할 수 있다는 점을 감안하여) 옥시벤존 함유 자외선차단제를 2세 미만 소아에게 사용하는 것을 금지해야 하는지 여부에 대한 의견을 요청하고 있다.</w:t>
      </w:r>
    </w:p>
    <w:p w14:paraId="750224C1" w14:textId="77777777" w:rsidR="00456E2A" w:rsidRPr="002C7F14" w:rsidRDefault="00456E2A" w:rsidP="00EF791F">
      <w:pPr>
        <w:spacing w:line="264" w:lineRule="auto"/>
        <w:jc w:val="both"/>
        <w:rPr>
          <w:rFonts w:asciiTheme="minorEastAsia" w:eastAsiaTheme="minorEastAsia" w:hAnsiTheme="minorEastAsia" w:cs="맑은 고딕"/>
          <w:sz w:val="20"/>
          <w:szCs w:val="20"/>
          <w:lang w:eastAsia="ko-KR"/>
        </w:rPr>
      </w:pPr>
    </w:p>
    <w:p w14:paraId="15E37A7A" w14:textId="77777777" w:rsidR="00456E2A" w:rsidRPr="002C7F14" w:rsidRDefault="00456E2A" w:rsidP="008E4E2D">
      <w:pPr>
        <w:pStyle w:val="a8"/>
        <w:numPr>
          <w:ilvl w:val="0"/>
          <w:numId w:val="18"/>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결론</w:t>
      </w:r>
    </w:p>
    <w:p w14:paraId="16D07924" w14:textId="6D4E26D3" w:rsidR="00456E2A" w:rsidRPr="002C7F14" w:rsidRDefault="00456E2A" w:rsidP="00456E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옥시벤존의 상당한 경피 흡수 및 전신 가용성을 보여주는 이용 가능한 데이터 및 내분비 활성 가능성을 감안할 때, 옥시벤존을 함유한 자외선차단제는 GRASE임을 보여주는 증거가 불충분하기 때문에 FD&amp;C법 제505G(b)(1)(C)(ii)조에 따라 GRASE가 아니라고 제안한다. 위에서 설명한 바와 같이, 옥시벤존의 흡수를 완전히 특성하고 인체 사용에 대한 안전역을 계산하기 위해 MUsT 프로그램을 수행해야 한다. MUsT 프로그램의 일환으로 인체 내 옥시벤존의 대사산물에 대한 연구도 필요하다고 판단한다. 이 연구 결과는 잠재적인 내분비 영향을 다루기 위해 대사산물을 사용한 추가 비임상 연구가 필요한지 여부를 알려줄 것이다. 옥시벤존이 상당한 전신 흡수를 보인다는 점을 감안하여 FDA는 이 성분의 안전성을 뒷받침하기 위해 발암성(전신 및 피부 둘 다) 및 발달/생식 독성 데이터뿐만 아니라 동물 및 인간 데이터를 연결하기 위한 독성동태 데이터도 필요할 가능성이 높다고 판단한다.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옥시벤존의 소아 안전성에 대한 기존 데이터를 찾고 있다. 또한 2세 미만의 소아에게 옥시벤존이 함유된 자외선차단제를 사용하는 것을 뒷받침하기 위해 추가 안전성 데이터가 필요한지 여부에 대한 의견 및 이러한 자외선차단제를 전술한 소아 인구에게 사용하는 것을 금지해야 하는지 여부에 대한 의견을 구한다. 옥시벤존 사용과 관련된 알레르기 반응의 위험 때문에 옥시벤존에 대한 긍정적인 GRASE 결과를 뒷받침할 충분한 데이터를 확보한 경우 이 위험을 다루는 라벨링을 요구할 수 있다. 이러한 라벨링이 옥시벤존을 함유한 자외선차단제에 필요한지 여부와 그렇다면 어떤 라벨링 문구를 포함해야 하는지에 대한 의견을 구한다.</w:t>
      </w:r>
    </w:p>
    <w:p w14:paraId="56C40DC7" w14:textId="7E25BD35" w:rsidR="00456E2A" w:rsidRPr="002C7F14" w:rsidRDefault="00456E2A" w:rsidP="00456E2A">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02DC42E5" w14:textId="3A5171DF" w:rsidR="00A9131F" w:rsidRPr="002C7F14" w:rsidRDefault="00456E2A" w:rsidP="00456E2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요컨대, 표 3은 FDA가 옥시벤존을 함유한 자외선차단제에 대한 긍정적인 GRASE 결과를 뒷받침하기 위해 필요한 것으로 예상하는 추가 연구를 보여준다.</w:t>
      </w:r>
    </w:p>
    <w:p w14:paraId="114B82FA" w14:textId="18EC6F8A"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p>
    <w:p w14:paraId="417FB5E2" w14:textId="486C1CF9" w:rsidR="00456E2A" w:rsidRPr="002C7F14" w:rsidRDefault="00456E2A"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76A062E2" w14:textId="7E3D78B0" w:rsidR="00A9131F" w:rsidRPr="002C7F14" w:rsidRDefault="00456E2A" w:rsidP="00456E2A">
      <w:pPr>
        <w:pStyle w:val="a9"/>
        <w:spacing w:line="264" w:lineRule="auto"/>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표 </w:t>
      </w:r>
      <w:proofErr w:type="gramStart"/>
      <w:r w:rsidRPr="002C7F14">
        <w:rPr>
          <w:rFonts w:asciiTheme="minorEastAsia" w:eastAsiaTheme="minorEastAsia" w:hAnsiTheme="minorEastAsia" w:hint="eastAsia"/>
          <w:sz w:val="20"/>
          <w:szCs w:val="20"/>
          <w:lang w:eastAsia="ko-KR"/>
        </w:rPr>
        <w:t>3.</w:t>
      </w:r>
      <w:r w:rsidRPr="002C7F14">
        <w:rPr>
          <w:rFonts w:asciiTheme="minorEastAsia" w:eastAsiaTheme="minorEastAsia" w:hAnsiTheme="minorEastAsia"/>
          <w:sz w:val="20"/>
          <w:szCs w:val="20"/>
          <w:lang w:eastAsia="ko-KR"/>
        </w:rPr>
        <w:t>--</w:t>
      </w:r>
      <w:proofErr w:type="gramEnd"/>
      <w:r w:rsidRPr="002C7F14">
        <w:rPr>
          <w:rFonts w:asciiTheme="minorEastAsia" w:eastAsiaTheme="minorEastAsia" w:hAnsiTheme="minorEastAsia" w:hint="eastAsia"/>
          <w:sz w:val="20"/>
          <w:szCs w:val="20"/>
          <w:lang w:eastAsia="ko-KR"/>
        </w:rPr>
        <w:t>고사항 요약: 최대 6%의 옥시벤존에 대한 연구</w:t>
      </w:r>
    </w:p>
    <w:tbl>
      <w:tblPr>
        <w:tblW w:w="9788"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firstRow="1" w:lastRow="1" w:firstColumn="1" w:lastColumn="1" w:noHBand="0" w:noVBand="0"/>
      </w:tblPr>
      <w:tblGrid>
        <w:gridCol w:w="4894"/>
        <w:gridCol w:w="4894"/>
      </w:tblGrid>
      <w:tr w:rsidR="00456E2A" w:rsidRPr="002C7F14" w14:paraId="032E45B8" w14:textId="77777777" w:rsidTr="00456E2A">
        <w:trPr>
          <w:trHeight w:val="20"/>
        </w:trPr>
        <w:tc>
          <w:tcPr>
            <w:tcW w:w="4894" w:type="dxa"/>
            <w:tcBorders>
              <w:left w:val="single" w:sz="8" w:space="0" w:color="000000"/>
            </w:tcBorders>
          </w:tcPr>
          <w:p w14:paraId="44F95987" w14:textId="77777777" w:rsidR="00456E2A" w:rsidRPr="002C7F14" w:rsidRDefault="00456E2A" w:rsidP="00456E2A">
            <w:pPr>
              <w:pStyle w:val="TableParagraph"/>
              <w:spacing w:line="264" w:lineRule="auto"/>
              <w:ind w:left="0"/>
              <w:jc w:val="center"/>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FDA가 GRASE 판단을 뒷받침하는 데 필요하다고 제안한 안전성 연구</w:t>
            </w:r>
          </w:p>
        </w:tc>
        <w:tc>
          <w:tcPr>
            <w:tcW w:w="4894" w:type="dxa"/>
            <w:tcBorders>
              <w:right w:val="single" w:sz="8" w:space="0" w:color="000000"/>
            </w:tcBorders>
          </w:tcPr>
          <w:p w14:paraId="2CEC6011" w14:textId="77777777" w:rsidR="00456E2A" w:rsidRPr="002C7F14" w:rsidRDefault="00456E2A" w:rsidP="00456E2A">
            <w:pPr>
              <w:pStyle w:val="TableParagraph"/>
              <w:spacing w:line="264" w:lineRule="auto"/>
              <w:ind w:left="0"/>
              <w:jc w:val="center"/>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추가 연구 또는 데이터 필요 여부?</w:t>
            </w:r>
          </w:p>
        </w:tc>
      </w:tr>
      <w:tr w:rsidR="00456E2A" w:rsidRPr="002C7F14" w14:paraId="16BCD275" w14:textId="77777777" w:rsidTr="00456E2A">
        <w:trPr>
          <w:trHeight w:val="20"/>
        </w:trPr>
        <w:tc>
          <w:tcPr>
            <w:tcW w:w="9788" w:type="dxa"/>
            <w:gridSpan w:val="2"/>
            <w:tcBorders>
              <w:left w:val="single" w:sz="8" w:space="0" w:color="000000"/>
              <w:right w:val="single" w:sz="8" w:space="0" w:color="000000"/>
            </w:tcBorders>
          </w:tcPr>
          <w:p w14:paraId="213559A5"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약리 연구</w:t>
            </w:r>
          </w:p>
        </w:tc>
      </w:tr>
      <w:tr w:rsidR="00456E2A" w:rsidRPr="002C7F14" w14:paraId="2C804C45" w14:textId="77777777" w:rsidTr="00456E2A">
        <w:trPr>
          <w:trHeight w:val="20"/>
        </w:trPr>
        <w:tc>
          <w:tcPr>
            <w:tcW w:w="4894" w:type="dxa"/>
            <w:tcBorders>
              <w:left w:val="single" w:sz="8" w:space="0" w:color="000000"/>
            </w:tcBorders>
          </w:tcPr>
          <w:p w14:paraId="64E28FDE"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인체 흡수</w:t>
            </w:r>
            <w:r w:rsidRPr="002C7F14">
              <w:rPr>
                <w:rFonts w:asciiTheme="minorEastAsia" w:eastAsiaTheme="minorEastAsia" w:hAnsiTheme="minorEastAsia" w:hint="eastAsia"/>
                <w:spacing w:val="-2"/>
                <w:sz w:val="20"/>
                <w:szCs w:val="20"/>
                <w:lang w:eastAsia="ko-KR"/>
              </w:rPr>
              <w:t>(MUsT)</w:t>
            </w:r>
          </w:p>
          <w:p w14:paraId="62B62EC8"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(인체 내 대사산물 연구 포함)</w:t>
            </w:r>
          </w:p>
        </w:tc>
        <w:tc>
          <w:tcPr>
            <w:tcW w:w="4894" w:type="dxa"/>
            <w:tcBorders>
              <w:right w:val="single" w:sz="8" w:space="0" w:color="000000"/>
            </w:tcBorders>
          </w:tcPr>
          <w:p w14:paraId="022DA785"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pacing w:val="-5"/>
                <w:sz w:val="20"/>
                <w:szCs w:val="20"/>
                <w:lang w:eastAsia="ko-KR"/>
              </w:rPr>
              <w:t>필요</w:t>
            </w:r>
          </w:p>
        </w:tc>
      </w:tr>
      <w:tr w:rsidR="00456E2A" w:rsidRPr="002C7F14" w14:paraId="3DCAE908" w14:textId="77777777" w:rsidTr="00456E2A">
        <w:trPr>
          <w:trHeight w:val="20"/>
        </w:trPr>
        <w:tc>
          <w:tcPr>
            <w:tcW w:w="9788" w:type="dxa"/>
            <w:gridSpan w:val="2"/>
            <w:tcBorders>
              <w:left w:val="single" w:sz="8" w:space="0" w:color="000000"/>
              <w:right w:val="single" w:sz="8" w:space="0" w:color="000000"/>
            </w:tcBorders>
          </w:tcPr>
          <w:p w14:paraId="50FABA53"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비임상 안전성 연구</w:t>
            </w:r>
          </w:p>
        </w:tc>
      </w:tr>
      <w:tr w:rsidR="00456E2A" w:rsidRPr="002C7F14" w14:paraId="7F3A7AD7" w14:textId="77777777" w:rsidTr="00456E2A">
        <w:trPr>
          <w:trHeight w:val="20"/>
        </w:trPr>
        <w:tc>
          <w:tcPr>
            <w:tcW w:w="4894" w:type="dxa"/>
            <w:tcBorders>
              <w:left w:val="single" w:sz="8" w:space="0" w:color="000000"/>
            </w:tcBorders>
          </w:tcPr>
          <w:p w14:paraId="2C5A9A72"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독성동태</w:t>
            </w:r>
          </w:p>
        </w:tc>
        <w:tc>
          <w:tcPr>
            <w:tcW w:w="4894" w:type="dxa"/>
            <w:tcBorders>
              <w:right w:val="single" w:sz="8" w:space="0" w:color="000000"/>
            </w:tcBorders>
          </w:tcPr>
          <w:p w14:paraId="2AE3C648"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pacing w:val="-5"/>
                <w:sz w:val="20"/>
                <w:szCs w:val="20"/>
                <w:lang w:eastAsia="ko-KR"/>
              </w:rPr>
              <w:t>필요</w:t>
            </w:r>
          </w:p>
        </w:tc>
      </w:tr>
      <w:tr w:rsidR="00456E2A" w:rsidRPr="002C7F14" w14:paraId="62745ECC" w14:textId="77777777" w:rsidTr="00456E2A">
        <w:trPr>
          <w:trHeight w:val="20"/>
        </w:trPr>
        <w:tc>
          <w:tcPr>
            <w:tcW w:w="4894" w:type="dxa"/>
            <w:tcBorders>
              <w:left w:val="single" w:sz="8" w:space="0" w:color="000000"/>
            </w:tcBorders>
          </w:tcPr>
          <w:p w14:paraId="01877D46"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발암성</w:t>
            </w:r>
          </w:p>
        </w:tc>
        <w:tc>
          <w:tcPr>
            <w:tcW w:w="4894" w:type="dxa"/>
            <w:tcBorders>
              <w:right w:val="single" w:sz="8" w:space="0" w:color="000000"/>
            </w:tcBorders>
          </w:tcPr>
          <w:p w14:paraId="45DDA0F3"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pacing w:val="-5"/>
                <w:sz w:val="20"/>
                <w:szCs w:val="20"/>
                <w:lang w:eastAsia="ko-KR"/>
              </w:rPr>
              <w:t>필요</w:t>
            </w:r>
          </w:p>
        </w:tc>
      </w:tr>
      <w:tr w:rsidR="00456E2A" w:rsidRPr="002C7F14" w14:paraId="1B4FAB10" w14:textId="77777777" w:rsidTr="00456E2A">
        <w:trPr>
          <w:trHeight w:val="20"/>
        </w:trPr>
        <w:tc>
          <w:tcPr>
            <w:tcW w:w="4894" w:type="dxa"/>
            <w:tcBorders>
              <w:left w:val="single" w:sz="8" w:space="0" w:color="000000"/>
            </w:tcBorders>
          </w:tcPr>
          <w:p w14:paraId="25659938"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전신 발암성</w:t>
            </w:r>
          </w:p>
        </w:tc>
        <w:tc>
          <w:tcPr>
            <w:tcW w:w="4894" w:type="dxa"/>
            <w:tcBorders>
              <w:right w:val="single" w:sz="8" w:space="0" w:color="000000"/>
            </w:tcBorders>
          </w:tcPr>
          <w:p w14:paraId="45B3BC68"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필요(NTP 연구에 대한 FDA</w:t>
            </w:r>
            <w:r w:rsidRPr="002C7F14">
              <w:rPr>
                <w:rFonts w:asciiTheme="minorEastAsia" w:eastAsiaTheme="minorEastAsia" w:hAnsiTheme="minorEastAsia" w:hint="eastAsia"/>
                <w:spacing w:val="-5"/>
                <w:sz w:val="20"/>
                <w:szCs w:val="20"/>
                <w:lang w:eastAsia="ko-KR"/>
              </w:rPr>
              <w:t xml:space="preserve"> 검토 진행 중</w:t>
            </w:r>
            <w:r w:rsidRPr="002C7F14">
              <w:rPr>
                <w:rFonts w:asciiTheme="minorEastAsia" w:eastAsiaTheme="minorEastAsia" w:hAnsiTheme="minorEastAsia" w:hint="eastAsia"/>
                <w:spacing w:val="-2"/>
                <w:sz w:val="20"/>
                <w:szCs w:val="20"/>
                <w:lang w:eastAsia="ko-KR"/>
              </w:rPr>
              <w:t>)</w:t>
            </w:r>
          </w:p>
        </w:tc>
      </w:tr>
      <w:tr w:rsidR="00456E2A" w:rsidRPr="002C7F14" w14:paraId="0BBEA8B7" w14:textId="77777777" w:rsidTr="00456E2A">
        <w:trPr>
          <w:trHeight w:val="20"/>
        </w:trPr>
        <w:tc>
          <w:tcPr>
            <w:tcW w:w="4894" w:type="dxa"/>
            <w:tcBorders>
              <w:left w:val="single" w:sz="8" w:space="0" w:color="000000"/>
            </w:tcBorders>
          </w:tcPr>
          <w:p w14:paraId="5A625103"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DART</w:t>
            </w:r>
            <w:r w:rsidRPr="002C7F14">
              <w:rPr>
                <w:rFonts w:asciiTheme="minorEastAsia" w:eastAsiaTheme="minorEastAsia" w:hAnsiTheme="minorEastAsia" w:hint="eastAsia"/>
                <w:sz w:val="20"/>
                <w:szCs w:val="20"/>
                <w:vertAlign w:val="superscript"/>
                <w:lang w:eastAsia="ko-KR"/>
              </w:rPr>
              <w:t>1</w:t>
            </w:r>
          </w:p>
          <w:p w14:paraId="08CAD5E1" w14:textId="77777777" w:rsidR="00456E2A" w:rsidRPr="002C7F14" w:rsidRDefault="00456E2A" w:rsidP="00456E2A">
            <w:pPr>
              <w:pStyle w:val="TableParagraph"/>
              <w:spacing w:line="264" w:lineRule="auto"/>
              <w:ind w:leftChars="300" w:left="66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생식력 및 초기 배아 발달</w:t>
            </w:r>
          </w:p>
          <w:p w14:paraId="687BE0E4" w14:textId="77777777" w:rsidR="00456E2A" w:rsidRPr="002C7F14" w:rsidRDefault="00456E2A" w:rsidP="00456E2A">
            <w:pPr>
              <w:pStyle w:val="TableParagraph"/>
              <w:spacing w:line="264" w:lineRule="auto"/>
              <w:ind w:leftChars="300" w:left="66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두 가지 종(설치류 및 비설치류)의 배아태아 발달</w:t>
            </w:r>
          </w:p>
          <w:p w14:paraId="736F87F5" w14:textId="77777777" w:rsidR="00456E2A" w:rsidRPr="002C7F14" w:rsidRDefault="00456E2A" w:rsidP="00456E2A">
            <w:pPr>
              <w:pStyle w:val="TableParagraph"/>
              <w:spacing w:line="264" w:lineRule="auto"/>
              <w:ind w:leftChars="300" w:left="66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산전 및 산후 발달</w:t>
            </w:r>
          </w:p>
        </w:tc>
        <w:tc>
          <w:tcPr>
            <w:tcW w:w="4894" w:type="dxa"/>
            <w:tcBorders>
              <w:right w:val="single" w:sz="8" w:space="0" w:color="000000"/>
            </w:tcBorders>
          </w:tcPr>
          <w:p w14:paraId="18BFA8E2"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pacing w:val="-5"/>
                <w:sz w:val="20"/>
                <w:szCs w:val="20"/>
                <w:lang w:eastAsia="ko-KR"/>
              </w:rPr>
              <w:t>필요</w:t>
            </w:r>
          </w:p>
        </w:tc>
      </w:tr>
      <w:tr w:rsidR="00456E2A" w:rsidRPr="002C7F14" w14:paraId="42D8F3FE" w14:textId="77777777" w:rsidTr="00456E2A">
        <w:trPr>
          <w:trHeight w:val="20"/>
        </w:trPr>
        <w:tc>
          <w:tcPr>
            <w:tcW w:w="9788" w:type="dxa"/>
            <w:gridSpan w:val="2"/>
            <w:tcBorders>
              <w:left w:val="single" w:sz="8" w:space="0" w:color="000000"/>
              <w:right w:val="single" w:sz="8" w:space="0" w:color="000000"/>
            </w:tcBorders>
          </w:tcPr>
          <w:p w14:paraId="2C5B3A51"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임상 안전성 시험</w:t>
            </w:r>
          </w:p>
        </w:tc>
      </w:tr>
      <w:tr w:rsidR="00456E2A" w:rsidRPr="002C7F14" w14:paraId="4CE19E1F" w14:textId="77777777" w:rsidTr="00456E2A">
        <w:trPr>
          <w:trHeight w:val="20"/>
        </w:trPr>
        <w:tc>
          <w:tcPr>
            <w:tcW w:w="4894" w:type="dxa"/>
            <w:tcBorders>
              <w:left w:val="single" w:sz="8" w:space="0" w:color="000000"/>
            </w:tcBorders>
          </w:tcPr>
          <w:p w14:paraId="18152474"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자극 및 감작</w:t>
            </w:r>
          </w:p>
        </w:tc>
        <w:tc>
          <w:tcPr>
            <w:tcW w:w="4894" w:type="dxa"/>
            <w:tcBorders>
              <w:right w:val="single" w:sz="8" w:space="0" w:color="000000"/>
            </w:tcBorders>
          </w:tcPr>
          <w:p w14:paraId="7E242D0F"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pacing w:val="-5"/>
                <w:sz w:val="20"/>
                <w:szCs w:val="20"/>
                <w:lang w:eastAsia="ko-KR"/>
              </w:rPr>
              <w:t>불필요</w:t>
            </w:r>
          </w:p>
        </w:tc>
      </w:tr>
      <w:tr w:rsidR="00456E2A" w:rsidRPr="002C7F14" w14:paraId="2C3F8DAA" w14:textId="77777777" w:rsidTr="00456E2A">
        <w:trPr>
          <w:trHeight w:val="20"/>
        </w:trPr>
        <w:tc>
          <w:tcPr>
            <w:tcW w:w="4894" w:type="dxa"/>
            <w:tcBorders>
              <w:left w:val="single" w:sz="8" w:space="0" w:color="000000"/>
            </w:tcBorders>
          </w:tcPr>
          <w:p w14:paraId="067BE6E7"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광알레르기성 및 광독성</w:t>
            </w:r>
          </w:p>
        </w:tc>
        <w:tc>
          <w:tcPr>
            <w:tcW w:w="4894" w:type="dxa"/>
            <w:tcBorders>
              <w:right w:val="single" w:sz="8" w:space="0" w:color="000000"/>
            </w:tcBorders>
          </w:tcPr>
          <w:p w14:paraId="5A55E503"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pacing w:val="-5"/>
                <w:sz w:val="20"/>
                <w:szCs w:val="20"/>
                <w:lang w:eastAsia="ko-KR"/>
              </w:rPr>
              <w:t>불필요</w:t>
            </w:r>
          </w:p>
        </w:tc>
      </w:tr>
      <w:tr w:rsidR="00456E2A" w:rsidRPr="002C7F14" w14:paraId="75906BD4" w14:textId="77777777" w:rsidTr="00456E2A">
        <w:trPr>
          <w:trHeight w:val="20"/>
        </w:trPr>
        <w:tc>
          <w:tcPr>
            <w:tcW w:w="4894" w:type="dxa"/>
            <w:tcBorders>
              <w:left w:val="single" w:sz="8" w:space="0" w:color="000000"/>
              <w:bottom w:val="single" w:sz="8" w:space="0" w:color="000000"/>
            </w:tcBorders>
          </w:tcPr>
          <w:p w14:paraId="1D2A89FA" w14:textId="77777777" w:rsidR="00456E2A" w:rsidRPr="002C7F14" w:rsidRDefault="00456E2A" w:rsidP="00456E2A">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소아 연구</w:t>
            </w:r>
          </w:p>
        </w:tc>
        <w:tc>
          <w:tcPr>
            <w:tcW w:w="4894" w:type="dxa"/>
            <w:tcBorders>
              <w:bottom w:val="single" w:sz="8" w:space="0" w:color="000000"/>
              <w:right w:val="single" w:sz="8" w:space="0" w:color="000000"/>
            </w:tcBorders>
          </w:tcPr>
          <w:p w14:paraId="03FBFFC9" w14:textId="77777777" w:rsidR="00456E2A" w:rsidRPr="002C7F14" w:rsidRDefault="00456E2A" w:rsidP="00456E2A">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2세 미만 소아에 대한 옥시벤존 함유 자외선차단제의 안전성을 뒷받침하기 위해 추가 연구 또는 금기사항이 필요한지 여부에 대한 의견을 구함</w:t>
            </w:r>
          </w:p>
        </w:tc>
      </w:tr>
    </w:tbl>
    <w:p w14:paraId="1657E854" w14:textId="5E6B6991" w:rsidR="00456E2A" w:rsidRPr="002C7F14" w:rsidRDefault="00456E2A" w:rsidP="00456E2A">
      <w:pPr>
        <w:pStyle w:val="a9"/>
        <w:spacing w:line="264" w:lineRule="auto"/>
        <w:jc w:val="both"/>
        <w:rPr>
          <w:rFonts w:asciiTheme="minorEastAsia" w:eastAsiaTheme="minorEastAsia" w:hAnsiTheme="minorEastAsia"/>
          <w:sz w:val="16"/>
          <w:szCs w:val="20"/>
          <w:lang w:eastAsia="ko-KR"/>
        </w:rPr>
      </w:pPr>
      <w:r w:rsidRPr="002C7F14">
        <w:rPr>
          <w:rFonts w:asciiTheme="minorEastAsia" w:eastAsiaTheme="minorEastAsia" w:hAnsiTheme="minorEastAsia" w:hint="eastAsia"/>
          <w:sz w:val="16"/>
          <w:szCs w:val="20"/>
          <w:vertAlign w:val="superscript"/>
          <w:lang w:eastAsia="ko-KR"/>
        </w:rPr>
        <w:t>1</w:t>
      </w:r>
      <w:r w:rsidRPr="002C7F14">
        <w:rPr>
          <w:rFonts w:asciiTheme="minorEastAsia" w:eastAsiaTheme="minorEastAsia" w:hAnsiTheme="minorEastAsia" w:hint="eastAsia"/>
          <w:sz w:val="16"/>
          <w:szCs w:val="20"/>
          <w:lang w:eastAsia="ko-KR"/>
        </w:rPr>
        <w:t xml:space="preserve"> 위에서 언급한 바와 같이, DART 연구가 잠재적 내분비 교란과 관련하여 문헌에서 제기된 우려사항을 해결하지 못하는 경우, 추가 시험을 통해 이러한 우려사항을 해결할 수 있다.</w:t>
      </w:r>
    </w:p>
    <w:p w14:paraId="418D9785" w14:textId="6FFAAA59" w:rsidR="00456E2A" w:rsidRPr="002C7F14" w:rsidRDefault="00456E2A" w:rsidP="00EF791F">
      <w:pPr>
        <w:spacing w:line="264" w:lineRule="auto"/>
        <w:jc w:val="both"/>
        <w:rPr>
          <w:rFonts w:asciiTheme="minorEastAsia" w:eastAsiaTheme="minorEastAsia" w:hAnsiTheme="minorEastAsia" w:cs="맑은 고딕"/>
          <w:sz w:val="20"/>
          <w:szCs w:val="20"/>
          <w:lang w:eastAsia="ko-KR"/>
        </w:rPr>
      </w:pPr>
    </w:p>
    <w:p w14:paraId="7E65FAC9" w14:textId="2952E4EF" w:rsidR="00456E2A" w:rsidRPr="002C7F14" w:rsidRDefault="00456E2A" w:rsidP="00EF791F">
      <w:pPr>
        <w:spacing w:line="264" w:lineRule="auto"/>
        <w:jc w:val="both"/>
        <w:rPr>
          <w:rFonts w:asciiTheme="minorEastAsia" w:eastAsiaTheme="minorEastAsia" w:hAnsiTheme="minorEastAsia" w:cs="맑은 고딕"/>
          <w:sz w:val="20"/>
          <w:szCs w:val="20"/>
          <w:lang w:eastAsia="ko-KR"/>
        </w:rPr>
      </w:pPr>
    </w:p>
    <w:p w14:paraId="4F4603D6" w14:textId="77777777" w:rsidR="00456E2A" w:rsidRPr="002C7F14" w:rsidRDefault="00456E2A" w:rsidP="008E4E2D">
      <w:pPr>
        <w:pStyle w:val="30"/>
        <w:keepNext w:val="0"/>
        <w:numPr>
          <w:ilvl w:val="0"/>
          <w:numId w:val="17"/>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아보벤존</w:t>
      </w:r>
    </w:p>
    <w:p w14:paraId="409E8280" w14:textId="58E1D85E" w:rsidR="00456E2A" w:rsidRPr="002C7F14" w:rsidRDefault="00456E2A" w:rsidP="00421B7B">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이용 가능한 과학 문헌, 자외선차단제 모노그래프 문서철 제출물 및 공개적으로 이용 가능한 FAERS 데이터를 검토한 결과, 아보벤존(아래에 논의된 바와 같이, 최대 3% 또는 5%)이 자외선차단제에 사용하기 위해 GRASE라는 결과를 뒷받침하는 데 필요한 것으로 예상되는 상당한 데이터 공백이 드러났다. 아보벤존은 위에서 논의한 두 가지 파일럿 흡수 연구(아보벤존이 피부 및 혈류로 흡수된다는 결론을 내림)에서 모두 연구되었지만, 아보벤존의 체내 흡수를 조사한 다른 연구를 발견하지 못했고 확인된 시험관 내 연구들은 제형화된 자외선차단제의 잠재적 아보벤존 흡수를 평가하는 측면에서 유용성을 제한하는 몇 가지 약점이 있었다. 핵심 MUsT 연구가 부족한 것 외에도, (아래에서 논의된) 피부 발암성 데이터 및 독성동태 데이터를 비롯한 기록에 다른 공백도 있다. 또한 충분히 강력한 MUsT 프로그램의 결과가 아보벤존의 상당한 전신 흡수가 존재함을 입증하거나 다른 비임상 및 임상 연구(적절하게 수행된 독성 프로그램 포함)에서 아보벤존 또는 알려진 구조적으로 유사한 화합물(대사산물 포함)에 대한 부정적인 안전성 결과가 나온 경우, 전신 발암성 및 추가 DART</w:t>
      </w:r>
      <w:r w:rsidR="00421B7B" w:rsidRPr="002C7F14">
        <w:rPr>
          <w:rFonts w:asciiTheme="minorEastAsia" w:eastAsiaTheme="minorEastAsia" w:hAnsiTheme="minorEastAsia"/>
          <w:sz w:val="20"/>
          <w:szCs w:val="20"/>
          <w:lang w:eastAsia="ko-KR"/>
        </w:rPr>
        <w:t xml:space="preserve"> </w:t>
      </w:r>
      <w:r w:rsidR="00421B7B" w:rsidRPr="002C7F14">
        <w:rPr>
          <w:rFonts w:asciiTheme="minorEastAsia" w:eastAsiaTheme="minorEastAsia" w:hAnsiTheme="minorEastAsia" w:hint="eastAsia"/>
          <w:sz w:val="20"/>
          <w:szCs w:val="20"/>
          <w:lang w:eastAsia="ko-KR"/>
        </w:rPr>
        <w:t>연구가 필요한 것이다.</w:t>
      </w:r>
    </w:p>
    <w:p w14:paraId="77B6D123" w14:textId="3B821AAF" w:rsidR="00456E2A" w:rsidRPr="002C7F14" w:rsidRDefault="00456E2A" w:rsidP="00EF791F">
      <w:pPr>
        <w:spacing w:line="264" w:lineRule="auto"/>
        <w:jc w:val="both"/>
        <w:rPr>
          <w:rFonts w:asciiTheme="minorEastAsia" w:eastAsiaTheme="minorEastAsia" w:hAnsiTheme="minorEastAsia" w:cs="맑은 고딕"/>
          <w:sz w:val="20"/>
          <w:szCs w:val="20"/>
          <w:lang w:eastAsia="ko-KR"/>
        </w:rPr>
      </w:pPr>
    </w:p>
    <w:p w14:paraId="3C091DDE" w14:textId="77777777" w:rsidR="00421B7B" w:rsidRPr="002C7F14" w:rsidRDefault="00421B7B"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배경</w:t>
      </w:r>
    </w:p>
    <w:p w14:paraId="094685DE" w14:textId="54D8CA9D" w:rsidR="00456E2A" w:rsidRPr="002C7F14" w:rsidRDefault="00421B7B" w:rsidP="00E432D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아보벤존은 옥시벤존과 마찬가지로 유기(화학적) UV 필터이다. 아보벤존은 주로 UV 스펙트럼의 UVA 부분에서 방사선을 흡수하기 때문에, 일반적으로 UVB 범위에서 차단 기능을 제공하는 다른 자외선차단제 활성성분과 결합된다. 아보벤존은 다른 UV 흡수제보다 더 큰 광불안정성을 보이며, 이용 가능한 증거에 따르면, 아보벤존은 햇빛에 노출되면 빠르게 분해되어 햇빛에 노출된 60분후 효능이 50%(~90%)로 감소할 수 있다(Ceresole외 공저 2013년; Nash 및 Tanner 2014년).</w:t>
      </w:r>
      <w:r w:rsidR="004117D0" w:rsidRPr="002C7F14">
        <w:rPr>
          <w:rStyle w:val="a7"/>
          <w:rFonts w:asciiTheme="minorEastAsia" w:eastAsiaTheme="minorEastAsia" w:hAnsiTheme="minorEastAsia"/>
          <w:sz w:val="20"/>
          <w:szCs w:val="20"/>
          <w:lang w:eastAsia="ko-KR"/>
        </w:rPr>
        <w:footnoteReference w:id="52"/>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이 문제를 해결하기 위해, 아보벤존은 일반적으로 빠른 광분해를 방지하기 위한 광안전화제와 결합된다(Ceresole외 공저 2013년; Nash 및 Tanner 2014년).</w:t>
      </w:r>
    </w:p>
    <w:p w14:paraId="606F0A71" w14:textId="1EF087F7" w:rsidR="00456E2A" w:rsidRPr="002C7F14" w:rsidRDefault="00456E2A" w:rsidP="00EF791F">
      <w:pPr>
        <w:spacing w:line="264" w:lineRule="auto"/>
        <w:jc w:val="both"/>
        <w:rPr>
          <w:rFonts w:asciiTheme="minorEastAsia" w:eastAsiaTheme="minorEastAsia" w:hAnsiTheme="minorEastAsia" w:cs="맑은 고딕"/>
          <w:sz w:val="20"/>
          <w:szCs w:val="20"/>
          <w:lang w:eastAsia="ko-KR"/>
        </w:rPr>
      </w:pPr>
    </w:p>
    <w:p w14:paraId="74BD41DD" w14:textId="77777777" w:rsidR="004117D0" w:rsidRPr="002C7F14" w:rsidRDefault="004117D0"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아보벤존의 경피 흡수를 보여주는 데이터</w:t>
      </w:r>
    </w:p>
    <w:p w14:paraId="1B949E7E"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아보벤존은 물에 잘 녹지 않지만 유기 용매에는 녹는다. 이러한 유기 용매에는 (인간 피부에 존재하는) 오일, 알코올 및 자외선차단제 제형에 정기적으로 포함되는 기타 물질이 있다. 이러한 용해도만으로는 경피 흡수가 발생하는지 여부를 결정하기에 충분하지 않지만, 필요한 전제조건이다(Kockler외 공저 2013년). 또한 섹션 VI.C.iii.1에 설명된 10가지 활성성분과 마찬가지로 아보벤존의 녹는점과 분자량은 경피로 성공적으로 전달되어 전신 가용성이 있는 허가된 의약품의 활성성분과 유사하다(Pastore외 공저 2015년). 이러한 경피 흡수 가능성은 FDA의 최근 두 가지 흡수 연구에서 확인되었는데, 이 연구들은 아보벤존이 피부를 통해 혈류로 흡수된다는 것을 보여주었다. 이외에도 아보벤존의 시험관 내 흡수를 평가한 몇 가지 연구를 찾을 수 있었지만, 이러한 연구는 도출할 수 있는 결론을 상당히 제한하는 몇 가지 약점이 있었다.</w:t>
      </w:r>
    </w:p>
    <w:p w14:paraId="2F910E22"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0DF700BB" w14:textId="4808B930" w:rsidR="00456E2A"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확인된 최소의 시험관 내 연구는 미네랄 오일 및 물에 희석된 5가지 자외선차단제 성분(아보벤본 포함)이 절제된 인간 피부를 통해 침투하는 것을 평가했다(Hayden외 공저 2005년). 이 연구는 정적 세포 기술을 사용했다. 섹션 VI.</w:t>
      </w:r>
      <w:proofErr w:type="gramStart"/>
      <w:r w:rsidRPr="002C7F14">
        <w:rPr>
          <w:rFonts w:asciiTheme="minorEastAsia" w:eastAsiaTheme="minorEastAsia" w:hAnsiTheme="minorEastAsia" w:hint="eastAsia"/>
          <w:sz w:val="20"/>
          <w:szCs w:val="20"/>
          <w:lang w:eastAsia="ko-KR"/>
        </w:rPr>
        <w:t>C.iv</w:t>
      </w:r>
      <w:proofErr w:type="gramEnd"/>
      <w:r w:rsidRPr="002C7F14">
        <w:rPr>
          <w:rFonts w:asciiTheme="minorEastAsia" w:eastAsiaTheme="minorEastAsia" w:hAnsiTheme="minorEastAsia" w:hint="eastAsia"/>
          <w:sz w:val="20"/>
          <w:szCs w:val="20"/>
          <w:lang w:eastAsia="ko-KR"/>
        </w:rPr>
        <w:t>에서 논의된 바와 같이, 정적 세포 연구에서 시험 제품(이 경우 자외선차단제/미네랄 오일/물 제형)을 정적 세포의 개방형 도너 챔버에 있는 막(이 경우 절제된 피부)의 윗면에 놓고, 샘플링 유체를 수용체 세포의 막 반대쪽에 배치한다. 국소 적용 제품에서 막을 통과하는 성분(이 경우 아보벤존)의 확산은 순차적으로 채취한 수용체액 샘플을 검사하여 모니터링한다. 발생하는 성분의 모든 경피 침투가 수용체액에 완전히 반영되도록 하기 위해 수용체액을 흡수에 최적화해야 한다(즉,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 xml:space="preserve">유체에서 </w:t>
      </w:r>
      <w:r w:rsidRPr="002C7F14">
        <w:rPr>
          <w:rFonts w:asciiTheme="minorEastAsia" w:eastAsiaTheme="minorEastAsia" w:hAnsiTheme="minorEastAsia" w:hint="eastAsia"/>
          <w:i/>
          <w:iCs/>
          <w:sz w:val="20"/>
          <w:szCs w:val="20"/>
          <w:lang w:eastAsia="ko-KR"/>
        </w:rPr>
        <w:t>싱크</w:t>
      </w:r>
      <w:r w:rsidRPr="002C7F14">
        <w:rPr>
          <w:rFonts w:asciiTheme="minorEastAsia" w:eastAsiaTheme="minorEastAsia" w:hAnsiTheme="minorEastAsia" w:hint="eastAsia"/>
          <w:sz w:val="20"/>
          <w:szCs w:val="20"/>
          <w:lang w:eastAsia="ko-KR"/>
        </w:rPr>
        <w:t>조건을 형성해야 한다).</w:t>
      </w:r>
    </w:p>
    <w:p w14:paraId="5663C1C8" w14:textId="400B3888"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098494BF" w14:textId="77777777"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21170784"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이 연구에서는 피부를 시스템의 막으로 사용하여 </w:t>
      </w:r>
      <w:r w:rsidRPr="002C7F14">
        <w:rPr>
          <w:rFonts w:asciiTheme="minorEastAsia" w:eastAsiaTheme="minorEastAsia" w:hAnsiTheme="minorEastAsia" w:hint="eastAsia"/>
          <w:i/>
          <w:iCs/>
          <w:sz w:val="20"/>
          <w:szCs w:val="20"/>
          <w:lang w:eastAsia="ko-KR"/>
        </w:rPr>
        <w:t>피부 스트리핑</w:t>
      </w:r>
      <w:r w:rsidRPr="002C7F14">
        <w:rPr>
          <w:rFonts w:asciiTheme="minorEastAsia" w:eastAsiaTheme="minorEastAsia" w:hAnsiTheme="minorEastAsia" w:hint="eastAsia"/>
          <w:sz w:val="20"/>
          <w:szCs w:val="20"/>
          <w:lang w:eastAsia="ko-KR"/>
        </w:rPr>
        <w:t>(즉, 피부 샘플에 접착 테이프를 순차적으로 붙였다 떼어내는 방법)을 통해 침투의 존재여부 및 깊이를 평가할 수 있었다. 그러나 연구의 수용체 단계가 적절한 싱크 조건을 형성했는지는 불분명하다. 또한 이 연구에 사용된 제형(앞서 언급했듯이 물, 미네랄 오일 및 자외선차단제 성분으로만 구성됨)에는 투과/흡수 강화제로도 작용할 수 있고 일반적으로 자외선차단제 제형에 존재하는 다른 유형의 부형제(예: 연화제, 안정제 또는 용해제)가 포함되지 않았다. 연구 결과에 따르면 막으로 사용된 피부의 각질층, 표피 및 살아 있는 진피에는 아보벤존이 존재하지만 수용체액에는 존재하지 않는 것으로 나타났다. 안타깝게도, 위에서 설명한 연구의 특성은 자외선차단제에 사용된 아보벤존의 실제 흡수 가능성을 평가하는 데 있어 그 가치를 제한한다.</w:t>
      </w:r>
    </w:p>
    <w:p w14:paraId="0B880DC6"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7D852EF5"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확인된 두 번째 시험관 내 연구(Simeoni외 공저 2004년)도 비슷한 한계가 있었다. 이 연구는 (일반적으로 위에서 설명한) 정적 셀을 사용하여 관찰된 아보벤존 투과를 평가한 다음, 정적 셀에서 피부를 꺼내 여러 차례 테이프 스트리핑을 실시하여 피부의 다양한 수준에서 아보벤존의 존재 여부를 평가했다. 테이프 스트리핑 후, 피부는 소화처리(즉, 세포막을 분해하여 단백질에 결합되거나 세포에 결합된 자외선차단제를 방출시키기 위한 피부 샘플의 화학적 처리)를 거쳤다.</w:t>
      </w:r>
    </w:p>
    <w:p w14:paraId="79675886"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0CBBFFB3"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연구 결과에 따르면 아보벤존이 각질층에서 상당히 유지되었고, 표피에는 그보다 적은 양이 유지되었으며, 진피 또는 수용체액에서는 전혀 유지되지 않았다. 그러나 이전 연구와 마찬가지로 이 연구에 사용된 시험물질에는 일반적으로 상업용 자외선차단제 제형에 포함된 투과 강화제가 전혀 포함되지 않았다. 또한 연구의 수용체 단계에서 싱크 조건이 존재했는지 여부도 불분명하다.</w:t>
      </w:r>
    </w:p>
    <w:p w14:paraId="234D229D"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31D1246B" w14:textId="6135976E" w:rsidR="00456E2A"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최종 시험관 내 연구는 스킨케어 제품 라인을 시판하는 헬스 스파에서 수집한 6가지 자외선차단제 제형의 경피 침투를 평가하기 위해 정적 셀을 사용했다(Montenegro 및 Puglisi 2013년). 이 연구는 여러 측면에서 이전 두 연구의 설계를 개선했다. 첫째, 수용체액에는 종종 자외선차단제에 사용되는 투과 강화제인 에탄올이 포함되어 수용체 단계에서 싱크 조건이 생성되었다. 둘째, 흡수에 유리한 조건을 만들기 위해 제품을 피부 표면에 20 mg/제곱센티미터(cm</w:t>
      </w:r>
      <w:r w:rsidRPr="002C7F14">
        <w:rPr>
          <w:rFonts w:asciiTheme="minorEastAsia" w:eastAsiaTheme="minorEastAsia" w:hAnsiTheme="minorEastAsia" w:hint="eastAsia"/>
          <w:sz w:val="20"/>
          <w:szCs w:val="20"/>
          <w:vertAlign w:val="superscript"/>
          <w:lang w:eastAsia="ko-KR"/>
        </w:rPr>
        <w:t>2</w:t>
      </w:r>
      <w:r w:rsidRPr="002C7F14">
        <w:rPr>
          <w:rFonts w:asciiTheme="minorEastAsia" w:eastAsiaTheme="minorEastAsia" w:hAnsiTheme="minorEastAsia" w:hint="eastAsia"/>
          <w:sz w:val="20"/>
          <w:szCs w:val="20"/>
          <w:lang w:eastAsia="ko-KR"/>
        </w:rPr>
        <w:t>)(즉, 일반적으로 예상되는 피부 하중의 10배)의 두께로 적용했다(Stenberg 및 Larko 1985년; Brown 및 Diffey 1986년). 또한 이 연구는 상업적으로 판매되는 자외선차단제 제형(위에서 논의한 대로 일반적으로 여러 투과/흡수 강화 부형제를 포함함)을 사용하여 시판되는 자외선차단제의 흡수 가능성을 보다 정확하게 반영한다.</w:t>
      </w:r>
    </w:p>
    <w:p w14:paraId="71FF8A64" w14:textId="736D1875"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3B5043B4" w14:textId="6422F226"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223370F4"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개선에도 불구하고, 이 연구의 유용성은 100 ng/mL 이하의 아보벤존 흡수를 감지할 수 없는 분석 방법을 사용했기 때문에 제한적이었다. 이 흡수 수준은 국소 적용 제품의 허용 가능한 흡수 수준을 평가할 때 고려하는 것보다 수백 배 더 높다. 또한 이 연구에 사용된 아보벤존의 농도(0.2~1% 범위)도 현재 고려 중인 이 성분의 최대 농도보다 상당히 낮다. 아보벤존은 이러한 연구 조건에서 매우 적은 범위(3~3.96%)에서만 흡수되었지만, 연구 설계의 이러한 약점은 결과에서 도출할 수 있는 결론을 상당히 제한한다.</w:t>
      </w:r>
    </w:p>
    <w:p w14:paraId="2A80F28B"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2FE5974A"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따라서 아보벤존을 함유한 자외선차단제에 대한 긍정적인 GRASE 판단을 뒷받침하기 위해 최대 사용 조건에서 아보벤존이 인체에 흡수되는 정도를 보여주는 MUsT 프로그램이 필요할 것으로 예상한다. 아보벤존의 경피 흡수를 보여주는 체내 흡수 연구(Matta외 공저 2019년; Matta외 공저 2020년)는 이 성분에 대한 전체 MUsT 프로그램의 필요성을 없애거나 흡수 수준을 확실히 확인할 만큼 충분히 강력하지 않은 파일럿 연구였다. 또한 아보벤존의 광불안정성을 보여주는 위에서 설명한 데이터를 감안할 때, 아보벤존의 안전성을 뒷받침할 만큼 충분한 데이터가 제공된다면 향후 활성성분으로 포함하는 모든 자외선차단제 모노그래프는 아보벤존이 광분해 및 (다른 우려사항 중 특히) 아보벤존 효능의 부수적인 감소를 방지하기 위해 (광안정화 UV 필터 또는 기타 광안정화 성분/메커니즘을 사용하여) 광안정화되지 않는 한 자외선차단제에 사용하기 위해 GRASE가 아니라는 제한을 포함할 것이다.</w:t>
      </w:r>
    </w:p>
    <w:p w14:paraId="15E9AEBA"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2BB097E3" w14:textId="40E0DBEE" w:rsidR="004117D0"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광분해는 경피로 흡수되는 아보벤존의 양을 줄일 수 있기 때문에, 자외선차단제에 사용하기 위한 아보벤존의 안전성에 대한 일반적인 인정을 뒷받침하기에 충분한 MUsT 프로그램이 광안정제를 포함하는 아보벤존 제형을 시험하는 데 필요할 것으로 예상한다. MUsT 제형에 광안정제를 포함시키면 아보벤존을 함유한 최종 제형의 자외선차단제에서 흡수 수준을 정확하게 평가할 수 있다. 이 제안은 MUsT 패러다임에 따라 평가된 재료가 시판된 제형의 흡수 가능성을 재현하지 못하는 지나치게 단순화된 해결책이 아닌 실제 자외선차단제 제형을 대표한다는 일반적인 권고사항과 일치한다. 섹션 </w:t>
      </w:r>
      <w:proofErr w:type="gramStart"/>
      <w:r w:rsidRPr="002C7F14">
        <w:rPr>
          <w:rFonts w:asciiTheme="minorEastAsia" w:eastAsiaTheme="minorEastAsia" w:hAnsiTheme="minorEastAsia" w:hint="eastAsia"/>
          <w:sz w:val="20"/>
          <w:szCs w:val="20"/>
          <w:lang w:eastAsia="ko-KR"/>
        </w:rPr>
        <w:t>VB.</w:t>
      </w:r>
      <w:proofErr w:type="gramEnd"/>
      <w:r w:rsidRPr="002C7F14">
        <w:rPr>
          <w:rFonts w:asciiTheme="minorEastAsia" w:eastAsiaTheme="minorEastAsia" w:hAnsiTheme="minorEastAsia" w:hint="eastAsia"/>
          <w:sz w:val="20"/>
          <w:szCs w:val="20"/>
          <w:lang w:eastAsia="ko-KR"/>
        </w:rPr>
        <w:t>ii.2에서 언급했듯이, 자외선차단제 제조업자가 시험을 시작하기 전에 FDA와 MUsT 프로토콜에 대해 논의할 것을 권장한다.</w:t>
      </w:r>
    </w:p>
    <w:p w14:paraId="32AB677C" w14:textId="74ADD922"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24338E05" w14:textId="77777777" w:rsidR="004117D0" w:rsidRPr="002C7F14" w:rsidRDefault="004117D0"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아보벤존의 피부 안전성을 뒷받침하는 데이터</w:t>
      </w:r>
    </w:p>
    <w:p w14:paraId="08E9B303" w14:textId="2351C495" w:rsidR="004117D0"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이용 가능한 데이터에 따르면 최대 농도 5%의 아보벤존은 잠재적인 자극, 감작 및 광안전성과 관련하여 유리한 안전성 프로파일을 가지고 있다. 2009년 최대 5%의 아보벤존을 함유한 자외선차단제의 시판을 허가하는 조치를 취할 것을 FDA에 요청한 시민 청원</w:t>
      </w:r>
      <w:r w:rsidRPr="002C7F14">
        <w:rPr>
          <w:rStyle w:val="a7"/>
          <w:rFonts w:asciiTheme="minorEastAsia" w:eastAsiaTheme="minorEastAsia" w:hAnsiTheme="minorEastAsia"/>
          <w:sz w:val="20"/>
          <w:szCs w:val="20"/>
          <w:lang w:eastAsia="ko-KR"/>
        </w:rPr>
        <w:footnoteReference w:id="53"/>
      </w:r>
      <w:r w:rsidRPr="002C7F14">
        <w:rPr>
          <w:rFonts w:asciiTheme="minorEastAsia" w:eastAsiaTheme="minorEastAsia" w:hAnsiTheme="minorEastAsia" w:hint="eastAsia"/>
          <w:sz w:val="20"/>
          <w:szCs w:val="20"/>
          <w:lang w:eastAsia="ko-KR"/>
        </w:rPr>
        <w:t>(로레알 청원, 문서철 번호 FDA-1978-N-0018-0675)과 관련하여 L’Oreal USA Products, Inc.(로레알)는 아보벤존(3.4%, 4% 또는 5%)을 함유한 6가지 상이한 자외선차단제 제형을 사용한 9가지 인체 반복 자극 패치, 광독성 및 광알레르기 연구를 제출했다. 이러한 연구에 따르면, 이 제형은 국소 사용 시 내성이 뛰어난 것으로 나타났다(즉, 본질적으로 비알레르기성, 비자극 및 비감작성이며 경증에서 중증도의 반응이 드물게 발생함)(로레알 청원).</w:t>
      </w:r>
      <w:r w:rsidRPr="002C7F14">
        <w:rPr>
          <w:rStyle w:val="a7"/>
          <w:rFonts w:asciiTheme="minorEastAsia" w:eastAsiaTheme="minorEastAsia" w:hAnsiTheme="minorEastAsia"/>
          <w:sz w:val="20"/>
          <w:szCs w:val="20"/>
          <w:lang w:eastAsia="ko-KR"/>
        </w:rPr>
        <w:footnoteReference w:id="54"/>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아보벤존의 임상 안전성에 대한 이용 가능한 과학 문헌을 별도로 검색한 결과, 이러한 결과를 약화시키는 내용은 발견되지 않았다. 이용 가능한 문헌에 아보벤존 함유 제품과 관련된 접촉 자극 및 광감작에 대한 소수의 보고가 포함되었지만, 문제가 된 제형의 조성에 대한 세부정보가 자주 문헌에서 누락되어 이러한 반응의 원인을 파악하기 어려웠다. FAERS에서도 아보벤존을 함유한 자외선차단제에 대한 심각한 과민증 보고를 찾을 수 있었다. 문제의 자외선차단제는 일반적으로 3가지 이상의 활성성분을 함유하고 있기 때문에, 반응의 원인을 파악하기는 어렵다. 판단을 내리기에 충분한 데이터가 있으므로, 최대 5%로 자외선차단제에 사용하기 위한 이 성분의 안전성을 뒷받침하기 위해 추가적인 피부 임상 연구(광안전성, 자극 또는 감작 연구 포함)가 필요하다고 판단하지 않는다. 그러나 임상 시험 관례에 따라 MUsT 연구 중 아보벤존에 대한 피부 안전성 데이터를 수집할 것을 권고한다.</w:t>
      </w:r>
    </w:p>
    <w:p w14:paraId="75A282D5" w14:textId="768211A6"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76EBF946" w14:textId="55C6E8E4"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0C646547" w14:textId="77777777" w:rsidR="004117D0" w:rsidRPr="002C7F14" w:rsidRDefault="004117D0"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아보벤존에 대한 기타 비임상 안전성 연구</w:t>
      </w:r>
    </w:p>
    <w:p w14:paraId="4AE15369" w14:textId="4CE2D59C" w:rsidR="004117D0"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아보벤존에 대한 피부 발암성 연구는 수행되지 않았다. 아보벤존의 투과에 대한 이용 가능한 데이터는 적어도 진피 및 표피로 투과되는 것을 시사하는데, 이는 아보벤존이 피부 종양 발달에 영향을 미칠 수 있음을 의미한다. 따라서 이 성분을 함유한 자외선차단제에 대한 긍정적인 GRASE 결과를 뒷받침하기 위해 피부 발암성 연구가 필요할 것으로 예상한다. 쥐와 생쥐에 대한 이용 가능한 배아태아 발달 연구에서 우려되는 결과는 발견되지 않았다. 그러나 아보벤존에 대한 비임상 데이터</w:t>
      </w:r>
      <w:r w:rsidRPr="002C7F14">
        <w:rPr>
          <w:rStyle w:val="a7"/>
          <w:rFonts w:asciiTheme="minorEastAsia" w:eastAsiaTheme="minorEastAsia" w:hAnsiTheme="minorEastAsia"/>
          <w:sz w:val="20"/>
          <w:szCs w:val="20"/>
          <w:lang w:eastAsia="ko-KR"/>
        </w:rPr>
        <w:footnoteReference w:id="55"/>
      </w:r>
      <w:r w:rsidRPr="002C7F14">
        <w:rPr>
          <w:rFonts w:asciiTheme="minorEastAsia" w:eastAsiaTheme="minorEastAsia" w:hAnsiTheme="minorEastAsia" w:hint="eastAsia"/>
          <w:sz w:val="20"/>
          <w:szCs w:val="20"/>
          <w:lang w:eastAsia="ko-KR"/>
        </w:rPr>
        <w:t xml:space="preserve">를 검토한 결과, MUsT 데이터가 제공되면, 핵심 비임상 안전성 연구(쥐와 토끼의 배아태아 발달 연구 포함)를 해석하기 위해 반복 투여 노출 후 독성동태 데이터가 필요한 것으로 밝혀졌다.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B.ii.2에서 설명한 바와 같이,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 데이터는 동물 연구에서 달성한 약물 수준을 최대 노출 조건에서 인간에서 관찰된 수준과 비교하는 데 사용된다.)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또한 충분히 강력한 MUsT 프로그램의 결과에서 아보벤존의 상당한 전신 흡수가 입증되거나 다른 비임상 및 임상 연구(적절하게 수행된 독성 프로그램 포함)에서 아보벤존 또는 알려진 구조적으로 유사한 화합물(대사산물 포함)에 대한 부정적인 안전성 결과가 나온 경우, 긍정적인 GRASE 결과를 뒷받침하기 위해 쥐를 대상으로 한 추가 생식력 및 초기 배아 발달, 산전 및 산후 발달 연구가 필요할 것이다. 충분히 강력한 MUsT 프로그램의 결과 및 위에서 설명한 다른 요인에 따라 전신 발암성 연구도 필요할 수 있다.</w:t>
      </w:r>
    </w:p>
    <w:p w14:paraId="45AA384C" w14:textId="55B02A75"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2599F65" w14:textId="77777777"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3E2B5C30" w14:textId="77777777" w:rsidR="004117D0" w:rsidRPr="002C7F14" w:rsidRDefault="004117D0"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 xml:space="preserve">다른 자외선차단제 활성성분과 함께 사용되는 아보벤존 </w:t>
      </w:r>
    </w:p>
    <w:p w14:paraId="2F886A84" w14:textId="207C7AA7" w:rsidR="004117D0"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섹션 III.B에서 언급한 바와 같이, 아보벤존이 자외선차단제에 사용하기 위해 GRASE라는 1999년 최종 모노그래프의 결과는 다른 특정 자외선차단제 활성성분과만 조합할 수 있도록 허용했는데(연방관보 64권 27666~27688 페이지), 나머지 활성성분과 조합했을 때 아보벤존의 안전성 및 효과를 뒷받침하는 표적화된 증거가 없었기 때문이었다. 이러한 제한은 자외선차단제에 대한 OTC 의약품 검토 전반에 걸쳐 FDA가 취해온 자외선차단제 결합 평가방식에 부합하지 않는다고 판단한다. 이러한 이유로 아보벤존과 다른 활성성분의 조합과 관련된 안전성 또는 효능 문제가 있음을 시사하는 증거가 제출되지 않는 한, 긍정적인 GRASE 판단은 단독으로 또는 다른 모든 자외선차단제 활성성분과 조합하여 자외선차단제에 사용하는 것을 뒷받침할 것이라는 결론을 내릴 것으로 예상한다.</w:t>
      </w:r>
    </w:p>
    <w:p w14:paraId="684102D8" w14:textId="762CEC7C"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7B1A3C12" w14:textId="77777777" w:rsidR="004117D0" w:rsidRPr="002C7F14" w:rsidRDefault="004117D0"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아보벤존 농도를 5%로 높여 달라는 로레알의 요청</w:t>
      </w:r>
    </w:p>
    <w:p w14:paraId="387F7BBF"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아보벤존은 현재 1999년 최종 모노그래프에 최대 3%의 농도로 등재되어 있다. 앞서 설명한 바와 같이, 2009년 FDA는 아보벤존의 허용 수준을 5%로 높이기 위해 자외선차단제 모노그래프를 개정해 달라고 요청하는 로레알의 시민 청원을 접수했다(로레알 청원 1페이지). 1999년 최종 모노그래프에서 FDA는 최대 3% 농도의 아보벤존이 효과적인 자외선차단제 활성성분이라고 결정했다. 지금은 최대 5% 농도로 아보벤존을 함유한 자외선차단제에 대한 GRASE 표준의 효과성 측면을 충족하기에 충분한 정보가 기록에 포함되어 있다는 결론을 내린다.</w:t>
      </w:r>
    </w:p>
    <w:p w14:paraId="0DBB15F2"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24E284FF" w14:textId="028F96C2"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위에서 설명한 바와 같이, 로레알 청원서와 함께 제출된 데이터는 최대 5% 농도의 아보벤존이 잠재적 자극, 감작 및 광안전성과 관련하여 유리한 안전성 프로파일을 가지고 있음을 입증하기에 충분했다. 그러나 최대 5% 농도의 아보벤존이 자외선차단제에 사용하기 위해 GRASE라는 결과를 뒷받침하기 위해 FDA는 최대 5% 아보벤존의 경피 흡수를 평가하는 MUsT 프로그램 및 최소 5% 농도의 아보벤존에 대한 독성동태 데이터도 필요할 것으로 예상한다.</w:t>
      </w:r>
    </w:p>
    <w:p w14:paraId="59974BBE"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21150321" w14:textId="0DB1A883"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34795599" w14:textId="3E25D052" w:rsidR="004117D0"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또한 충분히 강력한 MUsT 프로그램의 결과에서 아보벤존의 상당한 전신 흡수가 입증되거나 다른 비임상 및 임상 연구(적절하게 수행된 독성 프로그램 포함)에서 아보벤존 또는 알려진 구조적으로 유사한 화합물(대사산물 포함)에 대한 부정적인 안전성 결과가 나온 경우, 긍정적인 GRASE 결과를 뒷받침하기 위해 쥐를 대상으로 한 추가 생식력 및 초기 배아 발달, 산전 및 산후 발달 연구가 필요할 것이다. 충분히 강력한 MUsT 프로그램의 결과 및 위에서 설명한 다른 요인에 따라 전신 발암성 연구도 필요할 수 있다. 현재 기록에는 이러한 데이터가 포함되어 있지 않다. 그러나 최대 5%의 아보벤존에 대한 긍정적인 GRASE 결과를 뒷받침할 만큼 충분한 데이터를 접수하는 경우, 최종 자외선차단제 모노그래프에 이 비율의 아보벤존을 포함시킬 것으로 예상한다.</w:t>
      </w:r>
    </w:p>
    <w:p w14:paraId="74C875A6" w14:textId="49566780"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3960BDD3" w14:textId="77777777" w:rsidR="004117D0" w:rsidRPr="002C7F14" w:rsidRDefault="004117D0" w:rsidP="008E4E2D">
      <w:pPr>
        <w:pStyle w:val="a8"/>
        <w:numPr>
          <w:ilvl w:val="0"/>
          <w:numId w:val="19"/>
        </w:numPr>
        <w:spacing w:afterLines="100" w:after="240" w:line="264" w:lineRule="auto"/>
        <w:ind w:leftChars="0" w:left="5103"/>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결론</w:t>
      </w:r>
    </w:p>
    <w:p w14:paraId="4F5F0C23" w14:textId="77777777" w:rsidR="004117D0" w:rsidRPr="002C7F14" w:rsidRDefault="004117D0" w:rsidP="004117D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아보벤존이 경피 흡수된다는 데이터를 감안할 때, 적절하게 설계된 MUsT 프로그램이 자외선차단제에 아보벤존을 사용하는 것에 대한 긍정적인 GRASE 결과를 뒷받침하는 데 필요할 것으로 예상한다. 자외선차단제에 사용하기 위해 GRASE이려면 아보벤존은 분해 가능성을 해결하기 위해 광안정화되어야 하며, 이에 따라 활성성분으로 아보벤존을 포함하는 향후 자외선차단제 모노그래프는 아보벤존이 광분해를 방지하기 위해 광안정화된 경우를 제외하고 자외선차단제에 사용하기 위해 GRASE가 아니라는 제한사항을 포함할 것으로 예상한다. 또한 아보벤존의 흡수 가능성을 평가하는 적절한 MUsT는 아보벤존 함유 자외선차단제에서 발생하는 아보벤존의 잠재적 경피 흡수가 정확하게 평가되도록 보장하기 위해 광안정제를 포함할 필요가 있다고 판단한다.</w:t>
      </w:r>
    </w:p>
    <w:p w14:paraId="0C61754E" w14:textId="77777777" w:rsidR="004117D0" w:rsidRPr="002C7F14" w:rsidRDefault="004117D0" w:rsidP="004117D0">
      <w:pPr>
        <w:spacing w:line="264" w:lineRule="auto"/>
        <w:jc w:val="both"/>
        <w:rPr>
          <w:rFonts w:asciiTheme="minorEastAsia" w:eastAsiaTheme="minorEastAsia" w:hAnsiTheme="minorEastAsia" w:cs="맑은 고딕"/>
          <w:sz w:val="20"/>
          <w:szCs w:val="20"/>
          <w:lang w:eastAsia="ko-KR"/>
        </w:rPr>
      </w:pPr>
    </w:p>
    <w:p w14:paraId="12CD7FA1" w14:textId="06B1FF5C" w:rsidR="004117D0" w:rsidRPr="002C7F14" w:rsidRDefault="004117D0" w:rsidP="004117D0">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또한 아보벤존을 함유한 자외선차단제에 대한 긍정적인 GRASE 결과를 뒷받침하기 위해 피부 발암성 및 독성동태 데이터가 필요할 것으로 예상한다. 또한 충분히 강력한 MUsT 프로그램의 결과에서 아보벤존의 상당한 전신 흡수가 입증되거나 다른 비임상 및 임상 연구(적절하게 수행된 독성 프로그램 포함)에서 아보벤존 또는 알려진 구조적으로 유사한 화합물(대사산물 포함)에 대한 부정적인 안전성 결과가 나온 경우, 긍정적인 GRASE 결과를 뒷받침하기 위해 쥐를 대상으로 한 추가 생식력 및 초기 배아 발달, 산전 및 산후 발달 연구가 필요할 것이다. 충분히 강력한 MUsT 프로그램의 결과(및 위에서 설명한 다른 요인)에 따라 전신 발암성 연구도 필요할 수 있다. 이 성분에 대한 비임상 및 약리 연구 결과 및 이러한 결과에서 계산된 안전역에 따라, 소아 인구에 대한 아보벤존 함유 자외선차단제 사용을 뒷받침하기 위해 아보벤존에 대한 소아 연구도 필요할 수 있다.</w:t>
      </w:r>
    </w:p>
    <w:p w14:paraId="08E6D3A8" w14:textId="1A52827D"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6A64C090" w14:textId="035D8682" w:rsidR="00E25EBB" w:rsidRPr="002C7F14" w:rsidRDefault="00E25EBB"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35FDDE0D" w14:textId="58C5E773" w:rsidR="004117D0" w:rsidRPr="002C7F14" w:rsidRDefault="00E25EBB" w:rsidP="00E25EBB">
      <w:pPr>
        <w:pStyle w:val="a9"/>
        <w:spacing w:line="264" w:lineRule="auto"/>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표 </w:t>
      </w:r>
      <w:proofErr w:type="gramStart"/>
      <w:r w:rsidRPr="002C7F14">
        <w:rPr>
          <w:rFonts w:asciiTheme="minorEastAsia" w:eastAsiaTheme="minorEastAsia" w:hAnsiTheme="minorEastAsia" w:hint="eastAsia"/>
          <w:sz w:val="20"/>
          <w:szCs w:val="20"/>
          <w:lang w:eastAsia="ko-KR"/>
        </w:rPr>
        <w:t>4.-</w:t>
      </w:r>
      <w:r w:rsidRPr="002C7F14">
        <w:rPr>
          <w:rFonts w:asciiTheme="minorEastAsia" w:eastAsiaTheme="minorEastAsia" w:hAnsiTheme="minorEastAsia"/>
          <w:sz w:val="20"/>
          <w:szCs w:val="20"/>
          <w:lang w:eastAsia="ko-KR"/>
        </w:rPr>
        <w:t>-</w:t>
      </w:r>
      <w:proofErr w:type="gramEnd"/>
      <w:r w:rsidRPr="002C7F14">
        <w:rPr>
          <w:rFonts w:asciiTheme="minorEastAsia" w:eastAsiaTheme="minorEastAsia" w:hAnsiTheme="minorEastAsia" w:hint="eastAsia"/>
          <w:sz w:val="20"/>
          <w:szCs w:val="20"/>
          <w:lang w:eastAsia="ko-KR"/>
        </w:rPr>
        <w:t>권고사항 요약: 최대 3%(또는 5%)의 아보벤존에 대한 연구</w:t>
      </w:r>
    </w:p>
    <w:tbl>
      <w:tblPr>
        <w:tblW w:w="978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firstRow="1" w:lastRow="1" w:firstColumn="1" w:lastColumn="1" w:noHBand="0" w:noVBand="0"/>
      </w:tblPr>
      <w:tblGrid>
        <w:gridCol w:w="4890"/>
        <w:gridCol w:w="4891"/>
      </w:tblGrid>
      <w:tr w:rsidR="00EC4BD5" w:rsidRPr="002C7F14" w14:paraId="5546299F" w14:textId="77777777" w:rsidTr="00EC4BD5">
        <w:trPr>
          <w:trHeight w:val="20"/>
        </w:trPr>
        <w:tc>
          <w:tcPr>
            <w:tcW w:w="4890" w:type="dxa"/>
            <w:tcBorders>
              <w:left w:val="single" w:sz="8" w:space="0" w:color="000000"/>
            </w:tcBorders>
          </w:tcPr>
          <w:p w14:paraId="6A8AA927" w14:textId="77777777" w:rsidR="00EC4BD5" w:rsidRPr="002C7F14" w:rsidRDefault="00EC4BD5" w:rsidP="00EC4BD5">
            <w:pPr>
              <w:pStyle w:val="TableParagraph"/>
              <w:spacing w:line="264" w:lineRule="auto"/>
              <w:ind w:left="0"/>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FDA가 GRASE 판단을 뒷받침하는 데 필요하다고 제안한 안전성 연구</w:t>
            </w:r>
          </w:p>
        </w:tc>
        <w:tc>
          <w:tcPr>
            <w:tcW w:w="4891" w:type="dxa"/>
            <w:tcBorders>
              <w:right w:val="single" w:sz="8" w:space="0" w:color="000000"/>
            </w:tcBorders>
          </w:tcPr>
          <w:p w14:paraId="64882025" w14:textId="77777777" w:rsidR="00EC4BD5" w:rsidRPr="002C7F14" w:rsidRDefault="00EC4BD5" w:rsidP="00EC4BD5">
            <w:pPr>
              <w:pStyle w:val="TableParagraph"/>
              <w:spacing w:line="264" w:lineRule="auto"/>
              <w:ind w:left="0"/>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추가 연구 또는 데이터 필요 여부?</w:t>
            </w:r>
          </w:p>
        </w:tc>
      </w:tr>
      <w:tr w:rsidR="00EC4BD5" w:rsidRPr="002C7F14" w14:paraId="3FD37761" w14:textId="77777777" w:rsidTr="00EC4BD5">
        <w:trPr>
          <w:trHeight w:val="20"/>
        </w:trPr>
        <w:tc>
          <w:tcPr>
            <w:tcW w:w="9781" w:type="dxa"/>
            <w:gridSpan w:val="2"/>
            <w:tcBorders>
              <w:left w:val="single" w:sz="8" w:space="0" w:color="000000"/>
              <w:right w:val="single" w:sz="8" w:space="0" w:color="000000"/>
            </w:tcBorders>
          </w:tcPr>
          <w:p w14:paraId="7FB78E1A"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약리 연구</w:t>
            </w:r>
          </w:p>
        </w:tc>
      </w:tr>
      <w:tr w:rsidR="00EC4BD5" w:rsidRPr="002C7F14" w14:paraId="20494E11" w14:textId="77777777" w:rsidTr="00EC4BD5">
        <w:trPr>
          <w:trHeight w:val="20"/>
        </w:trPr>
        <w:tc>
          <w:tcPr>
            <w:tcW w:w="4890" w:type="dxa"/>
            <w:tcBorders>
              <w:left w:val="single" w:sz="8" w:space="0" w:color="000000"/>
            </w:tcBorders>
          </w:tcPr>
          <w:p w14:paraId="75C1F105"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인체 흡수(MUsT)</w:t>
            </w:r>
          </w:p>
          <w:p w14:paraId="2E978880" w14:textId="67EDD160" w:rsidR="00EC4BD5" w:rsidRPr="002C7F14" w:rsidRDefault="00EC4BD5" w:rsidP="00EC4BD5">
            <w:pPr>
              <w:pStyle w:val="TableParagraph"/>
              <w:spacing w:line="264" w:lineRule="auto"/>
              <w:ind w:leftChars="300" w:left="66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(인체 내 대사산물 연구 포함)</w:t>
            </w:r>
          </w:p>
        </w:tc>
        <w:tc>
          <w:tcPr>
            <w:tcW w:w="4891" w:type="dxa"/>
            <w:tcBorders>
              <w:right w:val="single" w:sz="8" w:space="0" w:color="000000"/>
            </w:tcBorders>
          </w:tcPr>
          <w:p w14:paraId="065C5C30"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필요</w:t>
            </w:r>
          </w:p>
        </w:tc>
      </w:tr>
      <w:tr w:rsidR="00EC4BD5" w:rsidRPr="002C7F14" w14:paraId="62441EC1" w14:textId="77777777" w:rsidTr="00EC4BD5">
        <w:trPr>
          <w:trHeight w:val="20"/>
        </w:trPr>
        <w:tc>
          <w:tcPr>
            <w:tcW w:w="9781" w:type="dxa"/>
            <w:gridSpan w:val="2"/>
            <w:tcBorders>
              <w:left w:val="single" w:sz="8" w:space="0" w:color="000000"/>
              <w:right w:val="single" w:sz="8" w:space="0" w:color="000000"/>
            </w:tcBorders>
          </w:tcPr>
          <w:p w14:paraId="3744B798"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비임상 안전성 연구</w:t>
            </w:r>
          </w:p>
        </w:tc>
      </w:tr>
      <w:tr w:rsidR="00EC4BD5" w:rsidRPr="002C7F14" w14:paraId="4285C731" w14:textId="77777777" w:rsidTr="00EC4BD5">
        <w:trPr>
          <w:trHeight w:val="20"/>
        </w:trPr>
        <w:tc>
          <w:tcPr>
            <w:tcW w:w="4890" w:type="dxa"/>
            <w:tcBorders>
              <w:left w:val="single" w:sz="8" w:space="0" w:color="000000"/>
            </w:tcBorders>
          </w:tcPr>
          <w:p w14:paraId="6A5CB877"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독성동태</w:t>
            </w:r>
          </w:p>
        </w:tc>
        <w:tc>
          <w:tcPr>
            <w:tcW w:w="4891" w:type="dxa"/>
            <w:tcBorders>
              <w:right w:val="single" w:sz="8" w:space="0" w:color="000000"/>
            </w:tcBorders>
          </w:tcPr>
          <w:p w14:paraId="021D8BB8"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필요</w:t>
            </w:r>
          </w:p>
        </w:tc>
      </w:tr>
      <w:tr w:rsidR="00EC4BD5" w:rsidRPr="002C7F14" w14:paraId="756E7391" w14:textId="77777777" w:rsidTr="00EC4BD5">
        <w:trPr>
          <w:trHeight w:val="20"/>
        </w:trPr>
        <w:tc>
          <w:tcPr>
            <w:tcW w:w="4890" w:type="dxa"/>
            <w:tcBorders>
              <w:left w:val="single" w:sz="8" w:space="0" w:color="000000"/>
            </w:tcBorders>
          </w:tcPr>
          <w:p w14:paraId="2137893B"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발암성</w:t>
            </w:r>
          </w:p>
        </w:tc>
        <w:tc>
          <w:tcPr>
            <w:tcW w:w="4891" w:type="dxa"/>
            <w:tcBorders>
              <w:right w:val="single" w:sz="8" w:space="0" w:color="000000"/>
            </w:tcBorders>
          </w:tcPr>
          <w:p w14:paraId="6A987286"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필요</w:t>
            </w:r>
          </w:p>
        </w:tc>
      </w:tr>
      <w:tr w:rsidR="00EC4BD5" w:rsidRPr="002C7F14" w14:paraId="2EBBD745" w14:textId="77777777" w:rsidTr="00EC4BD5">
        <w:trPr>
          <w:trHeight w:val="20"/>
        </w:trPr>
        <w:tc>
          <w:tcPr>
            <w:tcW w:w="4890" w:type="dxa"/>
            <w:tcBorders>
              <w:left w:val="single" w:sz="8" w:space="0" w:color="000000"/>
            </w:tcBorders>
          </w:tcPr>
          <w:p w14:paraId="2954694E"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전신 발암성</w:t>
            </w:r>
          </w:p>
        </w:tc>
        <w:tc>
          <w:tcPr>
            <w:tcW w:w="4891" w:type="dxa"/>
            <w:tcBorders>
              <w:right w:val="single" w:sz="8" w:space="0" w:color="000000"/>
            </w:tcBorders>
          </w:tcPr>
          <w:p w14:paraId="265890E8"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MUsT/기타 안전성 신호에 따라 달라짐</w:t>
            </w:r>
          </w:p>
        </w:tc>
      </w:tr>
      <w:tr w:rsidR="00EC4BD5" w:rsidRPr="002C7F14" w14:paraId="5B828C5C" w14:textId="77777777" w:rsidTr="00EC4BD5">
        <w:trPr>
          <w:trHeight w:val="20"/>
        </w:trPr>
        <w:tc>
          <w:tcPr>
            <w:tcW w:w="4890" w:type="dxa"/>
            <w:tcBorders>
              <w:left w:val="single" w:sz="8" w:space="0" w:color="000000"/>
            </w:tcBorders>
          </w:tcPr>
          <w:p w14:paraId="773E3460"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DART</w:t>
            </w:r>
          </w:p>
        </w:tc>
        <w:tc>
          <w:tcPr>
            <w:tcW w:w="4891" w:type="dxa"/>
            <w:tcBorders>
              <w:right w:val="single" w:sz="8" w:space="0" w:color="000000"/>
            </w:tcBorders>
          </w:tcPr>
          <w:p w14:paraId="286C3D90"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p>
        </w:tc>
      </w:tr>
      <w:tr w:rsidR="00EC4BD5" w:rsidRPr="002C7F14" w14:paraId="34088A2A" w14:textId="77777777" w:rsidTr="00EC4BD5">
        <w:trPr>
          <w:trHeight w:val="20"/>
        </w:trPr>
        <w:tc>
          <w:tcPr>
            <w:tcW w:w="4890" w:type="dxa"/>
            <w:tcBorders>
              <w:left w:val="single" w:sz="8" w:space="0" w:color="000000"/>
            </w:tcBorders>
          </w:tcPr>
          <w:p w14:paraId="3A4F9777"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생식력 및 초기 배아 발달</w:t>
            </w:r>
          </w:p>
        </w:tc>
        <w:tc>
          <w:tcPr>
            <w:tcW w:w="4891" w:type="dxa"/>
            <w:tcBorders>
              <w:right w:val="single" w:sz="8" w:space="0" w:color="000000"/>
            </w:tcBorders>
          </w:tcPr>
          <w:p w14:paraId="1A72753E"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MUsT/기타 안전성 신호에 따라 달라짐</w:t>
            </w:r>
          </w:p>
        </w:tc>
      </w:tr>
      <w:tr w:rsidR="00EC4BD5" w:rsidRPr="002C7F14" w14:paraId="15FA64D1" w14:textId="77777777" w:rsidTr="00EC4BD5">
        <w:trPr>
          <w:trHeight w:val="20"/>
        </w:trPr>
        <w:tc>
          <w:tcPr>
            <w:tcW w:w="4890" w:type="dxa"/>
            <w:tcBorders>
              <w:left w:val="single" w:sz="8" w:space="0" w:color="000000"/>
            </w:tcBorders>
          </w:tcPr>
          <w:p w14:paraId="46A94167" w14:textId="77777777" w:rsidR="00EC4BD5" w:rsidRPr="002C7F14" w:rsidRDefault="00EC4BD5" w:rsidP="00EC4BD5">
            <w:pPr>
              <w:pStyle w:val="TableParagraph"/>
              <w:spacing w:line="264" w:lineRule="auto"/>
              <w:ind w:leftChars="150" w:left="680" w:hangingChars="175" w:hanging="35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두 가지 종(설치류 및 비설치류)의 배아태아 발달</w:t>
            </w:r>
          </w:p>
        </w:tc>
        <w:tc>
          <w:tcPr>
            <w:tcW w:w="4891" w:type="dxa"/>
            <w:tcBorders>
              <w:right w:val="single" w:sz="8" w:space="0" w:color="000000"/>
            </w:tcBorders>
          </w:tcPr>
          <w:p w14:paraId="663EE595"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불필요</w:t>
            </w:r>
          </w:p>
        </w:tc>
      </w:tr>
      <w:tr w:rsidR="00EC4BD5" w:rsidRPr="002C7F14" w14:paraId="45EB4642" w14:textId="77777777" w:rsidTr="00EC4BD5">
        <w:trPr>
          <w:trHeight w:val="20"/>
        </w:trPr>
        <w:tc>
          <w:tcPr>
            <w:tcW w:w="4890" w:type="dxa"/>
            <w:tcBorders>
              <w:left w:val="single" w:sz="8" w:space="0" w:color="000000"/>
            </w:tcBorders>
          </w:tcPr>
          <w:p w14:paraId="41FA57AE"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산전 및 산후 발달</w:t>
            </w:r>
          </w:p>
        </w:tc>
        <w:tc>
          <w:tcPr>
            <w:tcW w:w="4891" w:type="dxa"/>
            <w:tcBorders>
              <w:right w:val="single" w:sz="8" w:space="0" w:color="000000"/>
            </w:tcBorders>
          </w:tcPr>
          <w:p w14:paraId="3C027911"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MUsT/기타 안전성 신호에 따라 달라짐 </w:t>
            </w:r>
          </w:p>
        </w:tc>
      </w:tr>
      <w:tr w:rsidR="00EC4BD5" w:rsidRPr="002C7F14" w14:paraId="279C634D" w14:textId="77777777" w:rsidTr="00EC4BD5">
        <w:trPr>
          <w:trHeight w:val="20"/>
        </w:trPr>
        <w:tc>
          <w:tcPr>
            <w:tcW w:w="9781" w:type="dxa"/>
            <w:gridSpan w:val="2"/>
            <w:tcBorders>
              <w:left w:val="single" w:sz="8" w:space="0" w:color="000000"/>
              <w:right w:val="single" w:sz="8" w:space="0" w:color="000000"/>
            </w:tcBorders>
          </w:tcPr>
          <w:p w14:paraId="6DF33DF2"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임상 안전성 시험</w:t>
            </w:r>
          </w:p>
        </w:tc>
      </w:tr>
      <w:tr w:rsidR="00EC4BD5" w:rsidRPr="002C7F14" w14:paraId="7927C29F" w14:textId="77777777" w:rsidTr="00EC4BD5">
        <w:trPr>
          <w:trHeight w:val="20"/>
        </w:trPr>
        <w:tc>
          <w:tcPr>
            <w:tcW w:w="4890" w:type="dxa"/>
            <w:tcBorders>
              <w:left w:val="single" w:sz="8" w:space="0" w:color="000000"/>
            </w:tcBorders>
          </w:tcPr>
          <w:p w14:paraId="359A5A83"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자극 및 감작</w:t>
            </w:r>
          </w:p>
        </w:tc>
        <w:tc>
          <w:tcPr>
            <w:tcW w:w="4891" w:type="dxa"/>
            <w:tcBorders>
              <w:right w:val="single" w:sz="8" w:space="0" w:color="000000"/>
            </w:tcBorders>
          </w:tcPr>
          <w:p w14:paraId="7D8F2FC0"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불필요</w:t>
            </w:r>
          </w:p>
        </w:tc>
      </w:tr>
      <w:tr w:rsidR="00EC4BD5" w:rsidRPr="002C7F14" w14:paraId="2E0305B4" w14:textId="77777777" w:rsidTr="00EC4BD5">
        <w:trPr>
          <w:trHeight w:val="20"/>
        </w:trPr>
        <w:tc>
          <w:tcPr>
            <w:tcW w:w="4890" w:type="dxa"/>
            <w:tcBorders>
              <w:left w:val="single" w:sz="8" w:space="0" w:color="000000"/>
            </w:tcBorders>
          </w:tcPr>
          <w:p w14:paraId="056240EE" w14:textId="77777777" w:rsidR="00EC4BD5" w:rsidRPr="002C7F14" w:rsidRDefault="00EC4BD5" w:rsidP="00EC4BD5">
            <w:pPr>
              <w:pStyle w:val="TableParagraph"/>
              <w:spacing w:line="264" w:lineRule="auto"/>
              <w:ind w:leftChars="150" w:left="680" w:hangingChars="175" w:hanging="35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 광알레르기성 및 광독성</w:t>
            </w:r>
          </w:p>
        </w:tc>
        <w:tc>
          <w:tcPr>
            <w:tcW w:w="4891" w:type="dxa"/>
            <w:tcBorders>
              <w:right w:val="single" w:sz="8" w:space="0" w:color="000000"/>
            </w:tcBorders>
          </w:tcPr>
          <w:p w14:paraId="2561A4FB"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불필요</w:t>
            </w:r>
          </w:p>
        </w:tc>
      </w:tr>
      <w:tr w:rsidR="00EC4BD5" w:rsidRPr="002C7F14" w14:paraId="10A0E453" w14:textId="77777777" w:rsidTr="00EC4BD5">
        <w:trPr>
          <w:trHeight w:val="20"/>
        </w:trPr>
        <w:tc>
          <w:tcPr>
            <w:tcW w:w="4890" w:type="dxa"/>
            <w:tcBorders>
              <w:left w:val="single" w:sz="8" w:space="0" w:color="000000"/>
              <w:bottom w:val="single" w:sz="8" w:space="0" w:color="000000"/>
            </w:tcBorders>
          </w:tcPr>
          <w:p w14:paraId="44FEA009" w14:textId="77777777" w:rsidR="00EC4BD5" w:rsidRPr="002C7F14" w:rsidRDefault="00EC4BD5" w:rsidP="00EC4BD5">
            <w:pPr>
              <w:pStyle w:val="TableParagraph"/>
              <w:spacing w:line="264" w:lineRule="auto"/>
              <w:ind w:leftChars="150" w:left="33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소아 연구</w:t>
            </w:r>
          </w:p>
        </w:tc>
        <w:tc>
          <w:tcPr>
            <w:tcW w:w="4891" w:type="dxa"/>
            <w:tcBorders>
              <w:bottom w:val="single" w:sz="8" w:space="0" w:color="000000"/>
              <w:right w:val="single" w:sz="8" w:space="0" w:color="000000"/>
            </w:tcBorders>
          </w:tcPr>
          <w:p w14:paraId="774E4458" w14:textId="77777777" w:rsidR="00EC4BD5" w:rsidRPr="002C7F14" w:rsidRDefault="00EC4BD5" w:rsidP="00EC4BD5">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MUsT 결과에 따라 소아 연구가 필요할 수 있음</w:t>
            </w:r>
          </w:p>
        </w:tc>
      </w:tr>
    </w:tbl>
    <w:p w14:paraId="3ED4738E" w14:textId="7761E01B"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33EF5F1C" w14:textId="77777777" w:rsidR="00EC4BD5" w:rsidRPr="002C7F14" w:rsidRDefault="00EC4BD5" w:rsidP="00EC4BD5">
      <w:pPr>
        <w:pStyle w:val="a8"/>
        <w:numPr>
          <w:ilvl w:val="0"/>
          <w:numId w:val="6"/>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예상되는 최종 제형의 시험관 내 투과 시험</w:t>
      </w:r>
    </w:p>
    <w:p w14:paraId="00DF5DA1" w14:textId="01208008" w:rsidR="004117D0" w:rsidRPr="002C7F14" w:rsidRDefault="00EC4BD5" w:rsidP="00EC4BD5">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앞서 언급한 바와 같이, 최종 자외선차단제 모노그래프는 이에 따라 시판된 제품이 GRASE가 되는 조건을 명시한다. 개별 자외선차단제 제형 간 차이, 특히 활성성분이 전달되는 특정 기제의 특성(예: 크림, 로션 또는 오일)은 자외선차단제의 경피 흡수에 영향을 미치며, 이에 따라 안전성 및 효과에 영향을 미칠 수 있다. 이를 해결하기 위해 현행 및 제안된 모노그래프 조항은 효과에 대해 라벨링된 주장, 즉 제품 라벨에 주장된 SPF 값, 광범위 스펙트럼 차단 및 내수성을 뒷받침하기 위한 OTC 자외선차단제의 최종 제형 시험에 대한 요구사항을 포함한다. 이 명령안의 목적상 시판될 자외선차단제 제형에 대해 수행된 시험을 지칭하기 위해 </w:t>
      </w:r>
      <w:r w:rsidRPr="002C7F14">
        <w:rPr>
          <w:rFonts w:asciiTheme="minorEastAsia" w:eastAsiaTheme="minorEastAsia" w:hAnsiTheme="minorEastAsia" w:hint="eastAsia"/>
          <w:i/>
          <w:iCs/>
          <w:sz w:val="20"/>
          <w:szCs w:val="20"/>
          <w:lang w:eastAsia="ko-KR"/>
        </w:rPr>
        <w:t>최종 제형 시험</w:t>
      </w:r>
      <w:r w:rsidRPr="002C7F14">
        <w:rPr>
          <w:rFonts w:asciiTheme="minorEastAsia" w:eastAsiaTheme="minorEastAsia" w:hAnsiTheme="minorEastAsia" w:hint="eastAsia"/>
          <w:sz w:val="20"/>
          <w:szCs w:val="20"/>
          <w:lang w:eastAsia="ko-KR"/>
        </w:rPr>
        <w:t>이라는 용어를 사용한다. 또한 일반적으로 모노그래프에 따라 허용된 특정 자외선차단제 제형에 함유된 활성성분이 FDA가 안전하다고 판단한 양을 초과하여 전신 흡수되지 않도록 보장하기 위해 최종 제형 시험도 필요할 것으로 예상한다.</w:t>
      </w:r>
    </w:p>
    <w:p w14:paraId="14FE2BF7" w14:textId="75E9589A" w:rsidR="00E25EBB" w:rsidRPr="002C7F14" w:rsidRDefault="00E25EBB" w:rsidP="00EF791F">
      <w:pPr>
        <w:spacing w:line="264" w:lineRule="auto"/>
        <w:jc w:val="both"/>
        <w:rPr>
          <w:rFonts w:asciiTheme="minorEastAsia" w:eastAsiaTheme="minorEastAsia" w:hAnsiTheme="minorEastAsia" w:cs="맑은 고딕"/>
          <w:sz w:val="20"/>
          <w:szCs w:val="20"/>
          <w:lang w:eastAsia="ko-KR"/>
        </w:rPr>
      </w:pPr>
    </w:p>
    <w:p w14:paraId="13F8FCCA" w14:textId="3F922743"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332C79DE" w14:textId="77777777"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이어지는 논의는 (FDA가 성분 또는 제품에 함유된 성분이 피부를 통해 흡수될 가능성이 낮다고 판단하는 경우를 제외하고) 자외선차단제 모노그래프에 따라 시판되는 자외선차단제에 대해 향후 요구될 것으로 예상하는 이러한 최종 제형 시험에 대한 FDA의 생각을 제시한다. 이 시험은 자외선차단제에 사용하기 위해 여기에서 GRASE로 제안된 활성성분(산화아연 및 이산화티타늄)만 함유한 자외선차단제에 대해서는 필요하지 않기 때문에, FDA는 이러한 최종 제형 시험에 필요할 수 있는 특정 매개변수에 대한 최종 판단에 도달하지 못했다. 그러나 현재 자외선차단제에 사용하기 위해 FD&amp;C법 제505G(b)(1)(C)(ii)조에 따라 GRASE가 아니라고 제안하고 있는 활성성분이 향후 이러한 GRASE 지위를 뒷받침하는 데이터를 FDA가 접수한 경우 모노그래프에 포함될 수 있기 때문에, 향후 모노그래프에 최종 제형 시험 요구사항을 지정할 수 있을 것으로 예상한다. 이러한 성분에 적용되는 최종 제형 시험 요구사항은 특정 성분에 대한 긍정적인 GRASE 판단을 뒷받침하기 위해 제공된 데이터(예: 잘 수행된 비임상 발암성 및 DART 연구에서 안전성 신호가 감지되는지 여부)를 고려하여 성분별 기준으로 설정될 것이다. 이해관계자가 각 활성성분에 대한 이러한 종류의 최종 제형 시험을 확립하는 것과 관련된 각 자외선차단제 활성성분에 대한 정보 및 의견을 제공할 것을 권장한다.</w:t>
      </w:r>
    </w:p>
    <w:p w14:paraId="4C4BFF7B" w14:textId="77777777" w:rsidR="00EC4BD5" w:rsidRPr="002C7F14" w:rsidRDefault="00EC4BD5" w:rsidP="00EC4BD5">
      <w:pPr>
        <w:spacing w:line="264" w:lineRule="auto"/>
        <w:jc w:val="both"/>
        <w:rPr>
          <w:rFonts w:asciiTheme="minorEastAsia" w:eastAsiaTheme="minorEastAsia" w:hAnsiTheme="minorEastAsia" w:cs="맑은 고딕"/>
          <w:sz w:val="20"/>
          <w:szCs w:val="20"/>
          <w:lang w:eastAsia="ko-KR"/>
        </w:rPr>
      </w:pPr>
    </w:p>
    <w:p w14:paraId="1A94F69D" w14:textId="1901A8B3"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이 시험이 일반적으로 체내 연구를 요구하지 않을 것으로 예상한다. 대신 FDA는 특정 활성성분을 함유한 자외선차단제에 대해 지정된 시판 조건에 따라 제조업자가 이 활성성분을 함유한 각 자외선차단제 제형을 시판하기 전에 시험관 내 투과 시험을 수행해야 할 것으로 예상한다. 최종간주명령(제안된 변경사항은 이 명령안의 § M020.80 및 § M020.90 참조)에 명시된 SPF 및 광범위 스펙트럼 최종 제형 시험에 대한 접근방식과 일관되게, FDA는 제품 시판 전에 시험관 내 투과 시험 결과를 검토하지 않을 것으로 예상한다. 오히려 FDA는 자외선차단제 모노그래프에 명시된 최종 제형 시험관 내 투과 시험과 관련된 향후 조건에 제조업자가 이 시험 기록을 유지하고 요청 시 FDA 검사를 위해 이 기록을 사용할 수 있도록 제공해야 한다는 요구사항이 포함될 것으로 예상한다.</w:t>
      </w:r>
    </w:p>
    <w:p w14:paraId="5FC5B236" w14:textId="77777777" w:rsidR="00EC4BD5" w:rsidRPr="002C7F14" w:rsidRDefault="00EC4BD5" w:rsidP="00EC4BD5">
      <w:pPr>
        <w:spacing w:line="264" w:lineRule="auto"/>
        <w:jc w:val="both"/>
        <w:rPr>
          <w:rFonts w:asciiTheme="minorEastAsia" w:eastAsiaTheme="minorEastAsia" w:hAnsiTheme="minorEastAsia" w:cs="맑은 고딕"/>
          <w:sz w:val="20"/>
          <w:szCs w:val="20"/>
          <w:lang w:eastAsia="ko-KR"/>
        </w:rPr>
      </w:pPr>
    </w:p>
    <w:p w14:paraId="7271BAE3" w14:textId="77777777"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자외선차단제 활성성분을 함유한 제품의 시험관 내 투과 시험에 사용될 각 활성성분에 대한 표준 대조 제형을 확립할 것으로 예상한다. 표준 대조 제형은 MUsT 프로그램에서 가장 높은 체내 흡수를 생성하는 제형이 될 것이다. 이 대조 제형을 사용한 시험관 내 투과 시험의 결과는 성분에 대한 안전역을 확립하기 위해 사용되는 MUsT 프로그램에서 해당 체내 흡수 수준과 연결하는 다리 역할을 할 것이다. 그런 다음 FDA는 아래에 설명된 지정된 수직 확산 셀을 사용하여 시판될 각 제형에 대해 최종 제형 시험관 내 투과 시험을 수행하도록 보장하는 조건을 확립할 것으로 예상한다. 각 최종 제형의 시험관 내 투과 시험 결과는 해당 제형에 포함된 활성성분에 대한 표준 대조 제형에서 발견되는 흡수와 비교된다.</w:t>
      </w:r>
    </w:p>
    <w:p w14:paraId="101B977F" w14:textId="77777777" w:rsidR="00EC4BD5" w:rsidRPr="002C7F14" w:rsidRDefault="00EC4BD5" w:rsidP="00EC4BD5">
      <w:pPr>
        <w:spacing w:line="264" w:lineRule="auto"/>
        <w:jc w:val="both"/>
        <w:rPr>
          <w:rFonts w:asciiTheme="minorEastAsia" w:eastAsiaTheme="minorEastAsia" w:hAnsiTheme="minorEastAsia" w:cs="맑은 고딕"/>
          <w:sz w:val="20"/>
          <w:szCs w:val="20"/>
          <w:lang w:eastAsia="ko-KR"/>
        </w:rPr>
      </w:pPr>
    </w:p>
    <w:p w14:paraId="287B5D8C" w14:textId="77777777" w:rsidR="00EC4BD5" w:rsidRPr="002C7F14" w:rsidRDefault="00EC4BD5" w:rsidP="00EC4BD5">
      <w:pPr>
        <w:spacing w:line="264" w:lineRule="auto"/>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0D8F8E86" w14:textId="6A53B609"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시험관 내 투과 시험은 30년 이상 피부 제형 개발에 사용되어 온 방법론이며, 여기에서 사용된 바와 같이 구체적으로 "수직 확산 셀" 사용을 지칭한다(Raney외 공저 2008년). 수직 확산 셀은 (1) 상부 챔버(자외선차단제 제형이 놓이는 곳), (2) 속도 제한 막(준비된 인간 피부) 및 (3) 하부 챔버/유체 채널("수용되는" 자외선차단제의 양을 결정하기 위해 평가되는 수용체액 포함)의 세 가지 주요 장치로 </w:t>
      </w:r>
      <w:proofErr w:type="gramStart"/>
      <w:r w:rsidRPr="002C7F14">
        <w:rPr>
          <w:rFonts w:asciiTheme="minorEastAsia" w:eastAsiaTheme="minorEastAsia" w:hAnsiTheme="minorEastAsia" w:hint="eastAsia"/>
          <w:sz w:val="20"/>
          <w:szCs w:val="20"/>
          <w:lang w:eastAsia="ko-KR"/>
        </w:rPr>
        <w:t>구성된다.(</w:t>
      </w:r>
      <w:proofErr w:type="gramEnd"/>
      <w:r w:rsidRPr="002C7F14">
        <w:rPr>
          <w:rFonts w:asciiTheme="minorEastAsia" w:eastAsiaTheme="minorEastAsia" w:hAnsiTheme="minorEastAsia" w:hint="eastAsia"/>
          <w:sz w:val="20"/>
          <w:szCs w:val="20"/>
          <w:lang w:eastAsia="ko-KR"/>
        </w:rPr>
        <w:t>Ng외 공저 2010년; Franz외 공저 2009년; Nallagundla외 공저 2014년). 수직 확산 셀 시스템은 상용화되었으며 자동화할 수 있는 단일 및 다중 장치 모델로 제공된다.</w:t>
      </w:r>
    </w:p>
    <w:p w14:paraId="575B64AC" w14:textId="77777777" w:rsidR="00EC4BD5" w:rsidRPr="002C7F14" w:rsidRDefault="00EC4BD5" w:rsidP="00EC4BD5">
      <w:pPr>
        <w:spacing w:line="264" w:lineRule="auto"/>
        <w:jc w:val="both"/>
        <w:rPr>
          <w:rFonts w:asciiTheme="minorEastAsia" w:eastAsiaTheme="minorEastAsia" w:hAnsiTheme="minorEastAsia" w:cs="맑은 고딕"/>
          <w:sz w:val="20"/>
          <w:szCs w:val="20"/>
          <w:lang w:eastAsia="ko-KR"/>
        </w:rPr>
      </w:pPr>
    </w:p>
    <w:p w14:paraId="68320AF3" w14:textId="77777777"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FDA가 향후 시험관 내 투과 시험에 대한 요구사항을 수립할 때 고려할 것으로 예상하는 기타 관련 매개변수에는 (여러 변수 중에서 특히) 채취된 피부의 두께와 무결성, 채취된 피부에 사용된 보건 조건, 수용체액의 조성, 피부 및 수용체액의 온도, 사용된 피부 샘플(및 기증자) 수, 연구 기간, 샘플링 기간, 적용 방법 및 실험자 수 등이 포함된다.</w:t>
      </w:r>
    </w:p>
    <w:p w14:paraId="62DAFEC4" w14:textId="77777777" w:rsidR="00EC4BD5" w:rsidRPr="002C7F14" w:rsidRDefault="00EC4BD5" w:rsidP="00EC4BD5">
      <w:pPr>
        <w:spacing w:line="264" w:lineRule="auto"/>
        <w:jc w:val="both"/>
        <w:rPr>
          <w:rFonts w:asciiTheme="minorEastAsia" w:eastAsiaTheme="minorEastAsia" w:hAnsiTheme="minorEastAsia" w:cs="맑은 고딕"/>
          <w:sz w:val="20"/>
          <w:szCs w:val="20"/>
          <w:lang w:eastAsia="ko-KR"/>
        </w:rPr>
      </w:pPr>
    </w:p>
    <w:p w14:paraId="066C9407" w14:textId="77777777"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최종 자외선차단제 제형에 자외선차단제 활성성분이 조합된 경우, FDA는 이 최종 제형을 포함된 각 자외선차단제 활성성분에 대한 표준 대조 제형과 비교하여 시험하도록 요구할 것으로 예상한다. 위에서 언급한 바와 같이, FDA가 성분이 피부를 통해 흡수될 가능성이 낮다고 판단하는 경우, 특정 활성성분이 함유된 자외선차단제에 대해 표준 대조 제형을 지정하지 않을 수 있(으며 안정성을 확립하기 위해 최종 제형 시험관 내 투과 시험이 필요하지 않을 수 있)다. 따라서 위에서 언급한 바와 같이 산화아연 및/또는 이산화티타늄만 함유한 자외선차단제 제형에 대한 최종 제형 사전 시험관 내 투과 시험을 요구할 것을 제안하지 않는다.</w:t>
      </w:r>
    </w:p>
    <w:p w14:paraId="0E777676" w14:textId="77777777" w:rsidR="00EC4BD5" w:rsidRPr="002C7F14" w:rsidRDefault="00EC4BD5" w:rsidP="00EC4BD5">
      <w:pPr>
        <w:spacing w:line="264" w:lineRule="auto"/>
        <w:jc w:val="both"/>
        <w:rPr>
          <w:rFonts w:asciiTheme="minorEastAsia" w:eastAsiaTheme="minorEastAsia" w:hAnsiTheme="minorEastAsia" w:cs="맑은 고딕"/>
          <w:sz w:val="20"/>
          <w:szCs w:val="20"/>
          <w:lang w:eastAsia="ko-KR"/>
        </w:rPr>
      </w:pPr>
    </w:p>
    <w:p w14:paraId="64F8FCF8" w14:textId="28E649BC" w:rsidR="00E25EBB" w:rsidRPr="002C7F14" w:rsidRDefault="00EC4BD5" w:rsidP="00EC4BD5">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이러한 시험이 필요한 경우, FDA는 최종 제형 제품의 각 자외선차단제 활성성분에 대한 시험관 내 투과가 해당 활성성분에 대한 표준 대조 제형의 시험관 내 투과 시험에서 얻은 값과 같거나 그보다 작은 경우, 제품의 안전역은 GRASE로 판단되는 매개변수 내에 있고 이에 따라 제형의 시판을 뒷받침하는 것으로 간주된다. 그러나 특정 최종 제형에서 활성성분의 시험관 내 투과가 해당 활성성분에 대한 표준 대조 제형의 시험관 내 투과 시험에서 얻은 값보다 큰 경우, FDA는 이 제형을 사용하는 의약품이 GRASE로 간주되지 않을 것으로 예상한다. 이러한 상황에서 의뢰자는 다음 옵션 중 하나를 선택할 수 있다. (1) 제품을 재제형화하고 재제형화된 제품이 자외선차단제 모노그래프에 명시된 최종 제형 시험관 내 투과 시험 요구사항을 충족하는지 확인하기 위해 시험관 내 투과 시험을 수행한다. (2) 새로운 제형에 대한 NDA 승인을 신청한다. (3) 새로운 표준 대조 제형을 설정하는 등 모노그래프의 GRASE 조건을 변경하기 위해 OTC 모노그래프 명령 요청(OMOR)을 제출한다.</w:t>
      </w:r>
    </w:p>
    <w:p w14:paraId="625418DD" w14:textId="77777777" w:rsidR="00E25EBB" w:rsidRPr="002C7F14" w:rsidRDefault="00E25EBB" w:rsidP="00EF791F">
      <w:pPr>
        <w:spacing w:line="264" w:lineRule="auto"/>
        <w:jc w:val="both"/>
        <w:rPr>
          <w:rFonts w:asciiTheme="minorEastAsia" w:eastAsiaTheme="minorEastAsia" w:hAnsiTheme="minorEastAsia" w:cs="맑은 고딕"/>
          <w:sz w:val="20"/>
          <w:szCs w:val="20"/>
          <w:lang w:eastAsia="ko-KR"/>
        </w:rPr>
      </w:pPr>
    </w:p>
    <w:p w14:paraId="686F0717" w14:textId="15186E98"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5576AB3" w14:textId="53CA6EDB" w:rsidR="004117D0" w:rsidRPr="002C7F14" w:rsidRDefault="00EC4BD5" w:rsidP="00EC4BD5">
      <w:pPr>
        <w:pStyle w:val="a8"/>
        <w:numPr>
          <w:ilvl w:val="0"/>
          <w:numId w:val="6"/>
        </w:numPr>
        <w:spacing w:afterLines="100" w:after="240" w:line="264" w:lineRule="auto"/>
        <w:ind w:leftChars="0" w:left="2127" w:hanging="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 추가 사용 조건</w:t>
      </w:r>
    </w:p>
    <w:p w14:paraId="1174B7B1" w14:textId="551DA95A" w:rsidR="004117D0" w:rsidRPr="002C7F14" w:rsidRDefault="00EC4BD5" w:rsidP="008E4E2D">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투여 형태에 대해 제안된 요구사항</w:t>
      </w:r>
    </w:p>
    <w:p w14:paraId="59C017DF" w14:textId="77777777" w:rsidR="004117D0" w:rsidRPr="002C7F14" w:rsidRDefault="004117D0" w:rsidP="00EF791F">
      <w:pPr>
        <w:spacing w:line="264" w:lineRule="auto"/>
        <w:jc w:val="both"/>
        <w:rPr>
          <w:rFonts w:asciiTheme="minorEastAsia" w:eastAsiaTheme="minorEastAsia" w:hAnsiTheme="minorEastAsia" w:cs="맑은 고딕"/>
          <w:sz w:val="20"/>
          <w:szCs w:val="20"/>
          <w:lang w:eastAsia="ko-KR"/>
        </w:rPr>
      </w:pPr>
    </w:p>
    <w:p w14:paraId="2D502D41" w14:textId="35A27362" w:rsidR="004117D0" w:rsidRPr="002C7F14" w:rsidRDefault="00EC4BD5" w:rsidP="00EC4BD5">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OTC 자외선차단제는 수년에 걸쳐 다양한 투여 형태로 판매되어 왔다. 스프레이 자외선차단제에 대한 시장 수용도 증가에 일부 대응하여, FDA는 2011년 6월 17일 자외선차단제 투여 형태를 다루는 ANPR(2011년 투여 형태 ANPR)(연방관보 76권 35669 페이지, 2011년 6월 17일)을 발행했다. 이 ANPR은 1972년 OTC 의약품 검토가 시작되기 전 시판 이력을 바탕으로 당시 법적 기준에 따른 OTC 자외선차단제 모노그래프 규칙제정의 검토 및 잠재적 포함 대상으로 적격하거나 부적격한 투여 형태를 식별했다. 또한 스프레이 자외선차단제의 안전성, 효과 및 사용 지침에 대한 구체적인 정보를 요청했다.</w:t>
      </w:r>
    </w:p>
    <w:p w14:paraId="2A818F80" w14:textId="476AF618"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p>
    <w:p w14:paraId="37585783" w14:textId="1FBCD496" w:rsidR="00EC4BD5" w:rsidRPr="002C7F14" w:rsidRDefault="00EC4BD5" w:rsidP="008E4E2D">
      <w:pPr>
        <w:pStyle w:val="a8"/>
        <w:numPr>
          <w:ilvl w:val="0"/>
          <w:numId w:val="21"/>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투여 형태 관련 GRASE 제안 요약</w:t>
      </w:r>
    </w:p>
    <w:p w14:paraId="5322154E" w14:textId="06035F97"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FD&amp;C 법 제505G조가 제정되기 전 의약품은 1972년 OTC 의약품 검토가 시작되기 전에 OTC로 시판되었거나 연방규정 제32편 제330.14조</w:t>
      </w:r>
      <w:r w:rsidRPr="002C7F14">
        <w:rPr>
          <w:rStyle w:val="a7"/>
          <w:rFonts w:asciiTheme="minorEastAsia" w:eastAsiaTheme="minorEastAsia" w:hAnsiTheme="minorEastAsia"/>
          <w:sz w:val="20"/>
          <w:szCs w:val="20"/>
          <w:lang w:eastAsia="ko-KR"/>
        </w:rPr>
        <w:footnoteReference w:id="56"/>
      </w:r>
      <w:r w:rsidRPr="002C7F14">
        <w:rPr>
          <w:rFonts w:asciiTheme="minorEastAsia" w:eastAsiaTheme="minorEastAsia" w:hAnsiTheme="minorEastAsia" w:hint="eastAsia"/>
          <w:sz w:val="20"/>
          <w:szCs w:val="20"/>
          <w:lang w:eastAsia="ko-KR"/>
        </w:rPr>
        <w:t>에 따라 시간 및 범위 신청서 제출을 통해 적격하다고 판단된 경우에만 OTC 자외선차단제 모노그래프에 포함하기에 적격한 것으로 간주되었다.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2019년 규칙안에서 FDA는 당시 패러다임에 따라 오일, 로션, 크림, 젤, 버터, 페이스트, 연고, 스틱, 스프레이 및 분말의 투여 형태를 1972년 이전에 시판된 자외선차단제의 이력을 바탕으로 OTC 모노그래프의 검토 및 잠재적 포함 대상으로 적격하다고 판단했다. 파우더를 제외하고 FDA는 이러한 투여 형태의 자외선차단제가 아래 및 이 명령안의 다른 곳에 설명된 특정 조건을 충족하는 경우에 한해 GRASE라고 당시 제안했으며 지금도 재차 이렇게 제안한다. 그러나 섹션 VI.E.i.5에서 설명한 바와 같이, 파우더 투여 형태의 자외선차단제를 GRASE로 분류하고 최종 모노그래프에 포함시키기 위해서는 추가적인 안전성 및 효능 데이터가 필요하다는 잠정 결론을 내린다.</w:t>
      </w:r>
    </w:p>
    <w:p w14:paraId="6D6FD354" w14:textId="760B2AD5"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p>
    <w:p w14:paraId="25772E2F" w14:textId="2286AF11" w:rsidR="00A9131F" w:rsidRPr="002C7F14" w:rsidRDefault="00EC4BD5" w:rsidP="008E4E2D">
      <w:pPr>
        <w:pStyle w:val="a8"/>
        <w:numPr>
          <w:ilvl w:val="0"/>
          <w:numId w:val="21"/>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승인된 신청 또는 새로운 505G 명령에 의해서만 합법적으로 시판할 수 있는 투여 형태</w:t>
      </w:r>
    </w:p>
    <w:p w14:paraId="01AC3199" w14:textId="371C06D6" w:rsidR="00EC4BD5" w:rsidRPr="002C7F14" w:rsidRDefault="00EC4BD5" w:rsidP="00EC4BD5">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2019년 규칙안에서 특정 투여 형태의 자외선차단제 적격성에 대한 FDA의 판단은 2020년 3월 FD&amp;C법 제505G(m)(2)조 제정을 통해 특정한 법적 효력을 갖게 되었다. 구체적으로, FDA가 2019년 규칙안에서 적격하다고 확인한 것이 아닌 다른 투여 형태의 자외선차단제는 현재 승인된 NDA 또는 약식 신약 신청(ANDA) 없이 합법적으로 시판할 수 없다. 현재 승인된 NDA 또는 ANDA(또는 505G에 따른 새로운 명령) 없이 합법적으로 시판할 수 없는 자외선차단제 투여 형태에는 자외선 차단 물티슈, 타월렛, 바디워시 및 샴푸가 있다.</w:t>
      </w:r>
    </w:p>
    <w:p w14:paraId="6EE63E34" w14:textId="00BAE889"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1D7783FD" w14:textId="77777777"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p>
    <w:p w14:paraId="5EBE6AFD" w14:textId="4DAED7C5" w:rsidR="00EC4BD5" w:rsidRPr="002C7F14" w:rsidRDefault="006F1819" w:rsidP="006F181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505G(m)(2)조는 "제[505G](a)항</w:t>
      </w:r>
      <w:r w:rsidRPr="002C7F14">
        <w:rPr>
          <w:rStyle w:val="a7"/>
          <w:rFonts w:asciiTheme="minorEastAsia" w:eastAsiaTheme="minorEastAsia" w:hAnsiTheme="minorEastAsia"/>
          <w:sz w:val="20"/>
          <w:szCs w:val="20"/>
          <w:lang w:eastAsia="ko-KR"/>
        </w:rPr>
        <w:footnoteReference w:id="57"/>
      </w:r>
      <w:r w:rsidRPr="002C7F14">
        <w:rPr>
          <w:rFonts w:asciiTheme="minorEastAsia" w:eastAsiaTheme="minorEastAsia" w:hAnsiTheme="minorEastAsia" w:hint="eastAsia"/>
          <w:sz w:val="20"/>
          <w:szCs w:val="20"/>
          <w:lang w:eastAsia="ko-KR"/>
        </w:rPr>
        <w:t xml:space="preserve">에도 불구하고" "이 조의 제정일 이전에 장관이 </w:t>
      </w:r>
      <w:r w:rsidRPr="002C7F14">
        <w:rPr>
          <w:rFonts w:asciiTheme="minorEastAsia" w:eastAsiaTheme="minorEastAsia" w:hAnsiTheme="minorEastAsia" w:hint="eastAsia"/>
          <w:i/>
          <w:iCs/>
          <w:sz w:val="20"/>
          <w:szCs w:val="20"/>
          <w:lang w:eastAsia="ko-KR"/>
        </w:rPr>
        <w:t>규칙안</w:t>
      </w:r>
      <w:r w:rsidRPr="002C7F14">
        <w:rPr>
          <w:rFonts w:asciiTheme="minorEastAsia" w:eastAsiaTheme="minorEastAsia" w:hAnsiTheme="minorEastAsia" w:hint="eastAsia"/>
          <w:sz w:val="20"/>
          <w:szCs w:val="20"/>
          <w:lang w:eastAsia="ko-KR"/>
        </w:rPr>
        <w:t xml:space="preserve"> 또는 최종 규칙에서 OTC 의약품 검토에 따른 검토를 위해 부적격하다고 판단한" 의약품은 "이 조에 따라 발행된 명령에 따른 경우"를 제외하고 승인된 NDA 또는 ANDA 없이 합법적으로 시판할 수 없다고 규정한다(강조 추가). 2019년 규칙안에서 위에 열거된 것이 아닌 다른 모든 투여 형태의 자외선차단제는 1972년 이전에 시판되었음을 보여주는 데이터를 접수하지 못했기 때문에 당시 시행되던 요구사항에 따라 OTC 의약품 검토에 따른 검토를 위해 부적격하다고 판단했다.</w:t>
      </w:r>
      <w:r w:rsidRPr="002C7F14">
        <w:rPr>
          <w:rStyle w:val="a7"/>
          <w:rFonts w:asciiTheme="minorEastAsia" w:eastAsiaTheme="minorEastAsia" w:hAnsiTheme="minorEastAsia"/>
          <w:sz w:val="20"/>
          <w:szCs w:val="20"/>
          <w:lang w:eastAsia="ko-KR"/>
        </w:rPr>
        <w:footnoteReference w:id="58"/>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따라서 FD&amp;C법 제505G(m)(2)조에 따라 오일, 로션, 크림, 젤, 버터, 페이스트, 연고, 스틱, 스프레이 또는 파우더가 아닌 다른 투여 형태의 자외선차단제는 FDA가 FD&amp;C법 제505G조에 따라 발행된 명령에서 달리 판단하지 않는 한 승인된 신청을 통해서만 시판할 수 있다. 이 명령은 다른 투여 형태의 자외선차단제에 대한 비모노그래프 법적 지위를 변경하는 것을 제안하지 않는다.</w:t>
      </w:r>
    </w:p>
    <w:p w14:paraId="169422CA" w14:textId="4C076ECE"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p>
    <w:p w14:paraId="3D045AE4" w14:textId="77777777" w:rsidR="006F1819" w:rsidRPr="002C7F14" w:rsidRDefault="006F1819" w:rsidP="008E4E2D">
      <w:pPr>
        <w:pStyle w:val="a8"/>
        <w:numPr>
          <w:ilvl w:val="0"/>
          <w:numId w:val="21"/>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2011년 투여 형태 ANPR에 대한 의견 개요</w:t>
      </w:r>
    </w:p>
    <w:p w14:paraId="6B1FBA1D" w14:textId="4BB26EFA" w:rsidR="006F1819" w:rsidRPr="002C7F14" w:rsidRDefault="006F1819" w:rsidP="006F181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FDA는 2011년 투여 형태 ANPR에 대해 총 14개의 의견을 접수했다. 의견 중 6개는 새로운 데이터를 제공하지 않았지만, 일반적으로 스프레이 자외선차단제의 장점을 지지했고, 스프레이 자외선차단제의 성능 및/또는 안전성(특히 소아에게 사용하는 경우)에 대한 우려를 해결해야 한다는 데 동의했으며, 기존 SPF 방법을 스프레이용으로 수정할 필요가 없다는 의견을 밝혔거나 (대부분의 경우) FDA가 제안한 사용 지침에 동의했다. 다른 의견들은 2011년 투여 형태 ANPR에서 부적격으로 식별된 추가 투여 형태를 포함시켜야 한다고 주장했지만, 이를 뒷받침하는 시판 데이터를 제공하지 못했다. 한 의견은 이전에 모노그래프에 부적격하다고 확인된 파우더 형태의 자외선차단제가 1972년 이전에 미국에서 시판되었다는 시판 정보를 포함했으며, 이 정보는 파우더 형태의 자외선차단제가 자외선차단제 모노그래프에 포함시키기 위한 고려에 적격하다는 2019년 규칙안 결정을 뒷받침했다. 나머지 의견들(모두 업계에서 제공함)은 </w:t>
      </w:r>
      <w:r w:rsidR="003D6BF5" w:rsidRPr="003D6BF5">
        <w:rPr>
          <w:rFonts w:asciiTheme="minorEastAsia" w:eastAsiaTheme="minorEastAsia" w:hAnsiTheme="minorEastAsia"/>
          <w:sz w:val="20"/>
          <w:szCs w:val="20"/>
          <w:lang w:eastAsia="ko-KR"/>
        </w:rPr>
        <w:t>2011</w:t>
      </w:r>
      <w:r w:rsidR="003D6BF5" w:rsidRPr="003D6BF5">
        <w:rPr>
          <w:rFonts w:asciiTheme="minorEastAsia" w:eastAsiaTheme="minorEastAsia" w:hAnsiTheme="minorEastAsia" w:hint="eastAsia"/>
          <w:sz w:val="20"/>
          <w:szCs w:val="20"/>
          <w:lang w:eastAsia="ko-KR"/>
        </w:rPr>
        <w:t>년</w:t>
      </w:r>
      <w:r w:rsidR="003D6BF5" w:rsidRPr="003D6BF5">
        <w:rPr>
          <w:rFonts w:asciiTheme="minorEastAsia" w:eastAsiaTheme="minorEastAsia" w:hAnsiTheme="minorEastAsia"/>
          <w:sz w:val="20"/>
          <w:szCs w:val="20"/>
          <w:lang w:eastAsia="ko-KR"/>
        </w:rPr>
        <w:t xml:space="preserve"> </w:t>
      </w:r>
      <w:r w:rsidR="003D6BF5" w:rsidRPr="003D6BF5">
        <w:rPr>
          <w:rFonts w:asciiTheme="minorEastAsia" w:eastAsiaTheme="minorEastAsia" w:hAnsiTheme="minorEastAsia" w:hint="eastAsia"/>
          <w:sz w:val="20"/>
          <w:szCs w:val="20"/>
          <w:lang w:eastAsia="ko-KR"/>
        </w:rPr>
        <w:t>투여</w:t>
      </w:r>
      <w:r w:rsidR="003D6BF5" w:rsidRPr="003D6BF5">
        <w:rPr>
          <w:rFonts w:asciiTheme="minorEastAsia" w:eastAsiaTheme="minorEastAsia" w:hAnsiTheme="minorEastAsia"/>
          <w:sz w:val="20"/>
          <w:szCs w:val="20"/>
          <w:lang w:eastAsia="ko-KR"/>
        </w:rPr>
        <w:t xml:space="preserve"> </w:t>
      </w:r>
      <w:r w:rsidR="003D6BF5" w:rsidRPr="003D6BF5">
        <w:rPr>
          <w:rFonts w:asciiTheme="minorEastAsia" w:eastAsiaTheme="minorEastAsia" w:hAnsiTheme="minorEastAsia" w:hint="eastAsia"/>
          <w:sz w:val="20"/>
          <w:szCs w:val="20"/>
          <w:lang w:eastAsia="ko-KR"/>
        </w:rPr>
        <w:t>형태</w:t>
      </w:r>
      <w:r w:rsidR="003D6BF5" w:rsidRPr="003D6BF5">
        <w:rPr>
          <w:rFonts w:asciiTheme="minorEastAsia" w:eastAsiaTheme="minorEastAsia" w:hAnsiTheme="minorEastAsia"/>
          <w:sz w:val="20"/>
          <w:szCs w:val="20"/>
          <w:lang w:eastAsia="ko-KR"/>
        </w:rPr>
        <w:t xml:space="preserve"> ANPR</w:t>
      </w:r>
      <w:r w:rsidR="003D6BF5" w:rsidRPr="003D6BF5">
        <w:rPr>
          <w:rFonts w:asciiTheme="minorEastAsia" w:eastAsiaTheme="minorEastAsia" w:hAnsiTheme="minorEastAsia" w:hint="eastAsia"/>
          <w:sz w:val="20"/>
          <w:szCs w:val="20"/>
          <w:lang w:eastAsia="ko-KR"/>
        </w:rPr>
        <w:t xml:space="preserve"> </w:t>
      </w:r>
      <w:r w:rsidRPr="002C7F14">
        <w:rPr>
          <w:rFonts w:asciiTheme="minorEastAsia" w:eastAsiaTheme="minorEastAsia" w:hAnsiTheme="minorEastAsia" w:hint="eastAsia"/>
          <w:sz w:val="20"/>
          <w:szCs w:val="20"/>
          <w:lang w:eastAsia="ko-KR"/>
        </w:rPr>
        <w:t>스프레이</w:t>
      </w:r>
      <w:r w:rsidR="003D6BF5">
        <w:rPr>
          <w:rFonts w:asciiTheme="minorEastAsia" w:eastAsiaTheme="minorEastAsia" w:hAnsiTheme="minorEastAsia" w:hint="eastAsia"/>
          <w:sz w:val="20"/>
          <w:szCs w:val="20"/>
          <w:lang w:eastAsia="ko-KR"/>
        </w:rPr>
        <w:t>에서</w:t>
      </w:r>
      <w:bookmarkStart w:id="1" w:name="_GoBack"/>
      <w:bookmarkEnd w:id="1"/>
      <w:r w:rsidRPr="002C7F14">
        <w:rPr>
          <w:rFonts w:asciiTheme="minorEastAsia" w:eastAsiaTheme="minorEastAsia" w:hAnsiTheme="minorEastAsia" w:hint="eastAsia"/>
          <w:sz w:val="20"/>
          <w:szCs w:val="20"/>
          <w:lang w:eastAsia="ko-KR"/>
        </w:rPr>
        <w:t xml:space="preserve"> 자외선차단제의 안전성, 효과 및 라벨링과 관련된 문제를 직간접적으로 다루는 데이터와 정보를 제공했다. 이러한 의견은 섹션 VI.E.i.3에서 논의한다.</w:t>
      </w:r>
    </w:p>
    <w:p w14:paraId="5432C35B" w14:textId="237E0115"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p>
    <w:p w14:paraId="478AC9F3" w14:textId="345700B8" w:rsidR="006F1819" w:rsidRPr="002C7F14" w:rsidRDefault="006F1819" w:rsidP="006F1819">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264138AB" w14:textId="206115B7" w:rsidR="006F1819" w:rsidRPr="002C7F14" w:rsidRDefault="006F1819" w:rsidP="008E4E2D">
      <w:pPr>
        <w:pStyle w:val="a8"/>
        <w:numPr>
          <w:ilvl w:val="0"/>
          <w:numId w:val="21"/>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스프레이 자외선차단제의 안전성 및 효과</w:t>
      </w:r>
    </w:p>
    <w:p w14:paraId="33FC51C1" w14:textId="6F31C562" w:rsidR="006F1819" w:rsidRPr="002C7F14" w:rsidRDefault="006F1819" w:rsidP="006F181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2011년 투여 형태 ANPR에서 인식한 바와 같이, 스프레이 자외선차단제는 전통적인 로션, 오일 등과 비교할 때 스프레이 투여 형태의 자외선차단제가 GRASE인지 여부를 판단할 때 FDA가 고려해야 할 안전성 및 효능 둘 다에 대한 잠재적 우려를 제기한다. 효능과 관련하여 FDA는 손으로 바르는 대신 자외선차단제를 뿌리는 것이 노출된 피부에 효과적인 차단범위를 제공하는지 여부, 소비자가 스프레이 제품을 사용하는 방법, SPF 및 광범위 스펙트럼 차단에 대한 현재 시험 방법이 스프레이 제품의 적절한 라벨링에 의존할 수 있는지 여부와 같은 요소를 고려해야 한다. 안전성과 관련하여 스프레이 자외선차단제는 자외선차단제 성분 흡입으로 인한 잠재적 피해 및 잠재적 인화성 위험 문제를 제기한다.</w:t>
      </w:r>
    </w:p>
    <w:p w14:paraId="337098BB" w14:textId="019FFD1A" w:rsidR="006F1819" w:rsidRPr="002C7F14" w:rsidRDefault="006F1819" w:rsidP="00EF791F">
      <w:pPr>
        <w:spacing w:line="264" w:lineRule="auto"/>
        <w:jc w:val="both"/>
        <w:rPr>
          <w:rFonts w:asciiTheme="minorEastAsia" w:eastAsiaTheme="minorEastAsia" w:hAnsiTheme="minorEastAsia" w:cs="맑은 고딕"/>
          <w:sz w:val="20"/>
          <w:szCs w:val="20"/>
          <w:lang w:eastAsia="ko-KR"/>
        </w:rPr>
      </w:pPr>
    </w:p>
    <w:p w14:paraId="2AD58E3F" w14:textId="77777777" w:rsidR="006F1819" w:rsidRPr="002C7F14" w:rsidRDefault="006F1819" w:rsidP="008E4E2D">
      <w:pPr>
        <w:pStyle w:val="30"/>
        <w:keepNext w:val="0"/>
        <w:numPr>
          <w:ilvl w:val="0"/>
          <w:numId w:val="2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자외선 차단 스프레이 제품의 특성</w:t>
      </w:r>
    </w:p>
    <w:p w14:paraId="71BD86A4" w14:textId="5DBEDD6D" w:rsidR="006F1819" w:rsidRPr="002C7F14" w:rsidRDefault="006F1819" w:rsidP="006F181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스프레이 자외선차단제는 에어로졸 스프레이, 즉 미세 액적 또는 입자의 공기 중 현탁액으로 자외선차단제 제형을 포장하고 전달하기 위해 다양한 기술을 사용한다. 일부 스프레이 제품에서 자외선차단제 제형은 밸브 시스템이 활성화되면 용해된 자외선차단제 제형과 추진제가 둘 다 포함된 에어로졸을 생성하는 힘을 제공하는 액화가스 추진제가 있는 캐니스터에 혼합되어 있다. 또한 가압 포장되지 않았지만 추진제 없이 기계적 힘을 가해 스프레이를 생성하는 펌프 스프레이 자외선차단제도 있다. 현재 시판되고 있는 많은 스프레이 자외선차단제가 백온밸브 시스템이라고 하는 전달 기술을 사용하는데, 이 경우 자외선차단제 제형은 추진제로 채워진 캐니스터 내부에 부착된 밸브가 있는 백에 담겨 있어 자외선차단제 제형과 추진제 성분이 섞이지 않는다. 본 문서의 목적상 스프레이 자외선차단제는 가압 및 비가압 용기에서 방출되는 제품이며, 분무 정도는 제형, 사용된 용기 시스템, 스프레이 액추에이터의 설계 등 여러 요인에 따라 달라질 수 있다.</w:t>
      </w:r>
    </w:p>
    <w:p w14:paraId="3AF2E5E6" w14:textId="136A6DF1" w:rsidR="006F1819" w:rsidRPr="002C7F14" w:rsidRDefault="006F1819" w:rsidP="00EF791F">
      <w:pPr>
        <w:spacing w:line="264" w:lineRule="auto"/>
        <w:jc w:val="both"/>
        <w:rPr>
          <w:rFonts w:asciiTheme="minorEastAsia" w:eastAsiaTheme="minorEastAsia" w:hAnsiTheme="minorEastAsia" w:cs="맑은 고딕"/>
          <w:sz w:val="20"/>
          <w:szCs w:val="20"/>
          <w:lang w:eastAsia="ko-KR"/>
        </w:rPr>
      </w:pPr>
    </w:p>
    <w:p w14:paraId="29586038" w14:textId="77777777" w:rsidR="006F1819" w:rsidRPr="002C7F14" w:rsidRDefault="006F1819" w:rsidP="008E4E2D">
      <w:pPr>
        <w:pStyle w:val="30"/>
        <w:keepNext w:val="0"/>
        <w:numPr>
          <w:ilvl w:val="0"/>
          <w:numId w:val="2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스프레이 자외선차단제의 성능 및 효과</w:t>
      </w:r>
    </w:p>
    <w:p w14:paraId="3E700A7A" w14:textId="77777777" w:rsidR="006F1819" w:rsidRPr="002C7F14" w:rsidRDefault="006F1819" w:rsidP="006F181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투여 형태 ANPR은 일반적으로 소비자가 적용하는 스프레이 자외선차단제의 양, 차단범위의 균일성, 소비자가 스프레이 자외선차단제를 재적용하는 빈도, 지침에 따라 소비자가 스프레이 자외선차단제를 피부에 문지르는지 여부 및 이로 인해 효과에 미치는 영향, 자외선차단제 스프레이를 다루기 위해 SPF 및/또는 광범위 스펙트럼 시험을 수정해야 하는지 여부 및 그렇다면 그 수정 방법 등을 비롯하여 스프레이 자외선차단제의 성능 및 효과와 관련된 일련의 질문은 제기했다. 또한 2011년 투여 형태 ANPR은 투여 형태가 유사한지 여부를 확인하기 위해 스프레이 자외선차단제를 다른 적격 투여 형태와 비교하는 연구를 요청했다.</w:t>
      </w:r>
    </w:p>
    <w:p w14:paraId="6B4EC4C2" w14:textId="77777777" w:rsidR="006F1819" w:rsidRPr="002C7F14" w:rsidRDefault="006F1819" w:rsidP="006F1819">
      <w:pPr>
        <w:spacing w:line="264" w:lineRule="auto"/>
        <w:jc w:val="both"/>
        <w:rPr>
          <w:rFonts w:asciiTheme="minorEastAsia" w:eastAsiaTheme="minorEastAsia" w:hAnsiTheme="minorEastAsia" w:cs="맑은 고딕"/>
          <w:sz w:val="20"/>
          <w:szCs w:val="20"/>
          <w:lang w:eastAsia="ko-KR"/>
        </w:rPr>
      </w:pPr>
    </w:p>
    <w:p w14:paraId="426868E7" w14:textId="454DAB5A" w:rsidR="006F1819" w:rsidRPr="002C7F14" w:rsidRDefault="006F1819" w:rsidP="006F181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4개의 의견은 적용된 양, UV 필터 사진으로 측정한 차단범위의 균일성, SPF 비교 결과, 적용 용이성 및 효과에 대한 소비자 평가 등을 비롯한 다양한 매개변수에서 스프레이 및 로션 자외선차단제의 성능을 조사하고 비교한 여러 연구에서 얻은 데이터를 제공했다. 제출된 정보에 대한 FDA의 평가에 따르면, 2011년 투여 형태 ANPR에서 제기된 주요 질문은 이러한 연구에서 직접 또는 간접적으로 다루어졌다. 이러한 연구에 따르면, 소비자는 스프레이 자외선차단제의 편의성을 좋아하며 효과적인 차단범위를 달성하기 위해 이러한 제품의 사용을 조정하는 것으로 나타났다. 적용 균일성에 대해 제공된 데이터는 연구 보고서가 부족하고 직접 비교하기 어려웠지만, 종합하면 노출된 피부의 차단범위에서 스프레이 및 로션 간의 균일성이 높고, 피부에 직접 분사하거나 분사 후 문지르는 등 다양한 스프레이 적용 시나리오에서도 높은 수준의 균일성을 나타낸다. 제출된 정보에 따르면, 분사된 스프레이 자외선차단제의 양이 자외선차단제 로션보다 많고 소비자가 로션보다 스프레이를 재적용할 가능성이 높은 것으로 나타났다. 스프레이 자외선차단제를 피부에 문지르라는 지침을 소비자가 준수하는지에 대한 응답은 없었다. 그러나 스프레이 자외선차단제를 피부에 문지르는 것이 효과를 향상시키지 않음을 보여주는 데이터가 제공되었다. 이러한 의견 및 이용 가능한 데이터를 바탕으로, 라벨링 시 스프레이 자외선차단제를 피부에 문지르라는 지침을 제공하도록 요구하는 것을 제안하지 않는다.</w:t>
      </w:r>
    </w:p>
    <w:p w14:paraId="3A8D3258" w14:textId="77777777" w:rsidR="006F1819" w:rsidRPr="002C7F14" w:rsidRDefault="006F1819" w:rsidP="006F1819">
      <w:pPr>
        <w:spacing w:line="264" w:lineRule="auto"/>
        <w:jc w:val="both"/>
        <w:rPr>
          <w:rFonts w:asciiTheme="minorEastAsia" w:eastAsiaTheme="minorEastAsia" w:hAnsiTheme="minorEastAsia" w:cs="맑은 고딕"/>
          <w:sz w:val="20"/>
          <w:szCs w:val="20"/>
          <w:lang w:eastAsia="ko-KR"/>
        </w:rPr>
      </w:pPr>
    </w:p>
    <w:p w14:paraId="750871AB" w14:textId="7DDBBA99" w:rsidR="006F1819" w:rsidRPr="002C7F14" w:rsidRDefault="006F1819" w:rsidP="006F181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2011년 투여 형태 ANPR에 대한 의견은 다른 투여 형태의 자외선차단제에 적용되는 SPF 및 광범위 스펙트럼 시험이 스프레이 투여 형태의 자외선차단제 효능을 보장하기에 적절하다는 데 동의했으며, 본 기관도 이에 동의한다. SPF 시험은 일정량의 자외선차단제(피험자 한 명당 2mg/cm</w:t>
      </w:r>
      <w:r w:rsidRPr="002C7F14">
        <w:rPr>
          <w:rFonts w:asciiTheme="minorEastAsia" w:eastAsiaTheme="minorEastAsia" w:hAnsiTheme="minorEastAsia" w:hint="eastAsia"/>
          <w:sz w:val="20"/>
          <w:szCs w:val="20"/>
          <w:vertAlign w:val="superscript"/>
          <w:lang w:eastAsia="ko-KR"/>
        </w:rPr>
        <w:t>2</w:t>
      </w:r>
      <w:r w:rsidRPr="002C7F14">
        <w:rPr>
          <w:rFonts w:asciiTheme="minorEastAsia" w:eastAsiaTheme="minorEastAsia" w:hAnsiTheme="minorEastAsia" w:hint="eastAsia"/>
          <w:sz w:val="20"/>
          <w:szCs w:val="20"/>
          <w:lang w:eastAsia="ko-KR"/>
        </w:rPr>
        <w:t>)를 적용하도록 요구하는데, 이는 스프레이 자외선차단제 제형에 쉽게 적용할 수 있다. 예를 들어, 투여 형태 ANPR에 대한 의견은 현재 최종간주명령에 설명된 방법, 즉 액체 형태의 중량을 측정하고 피부에 적용하는 방법에 따라 자외선차단제 스프레이 제품의 SPF 시험을 수행할 수 있다고 명시했다(§ MO20.80(d.) 참조). 이 전제는 의견에 제출된 SPF 시험 데이터로 뒷받침된다. 일례로 한 의견은 FDA에서 요구하는 방법을 사용하여 스프레이에 수행된 5개의 SPF 시험 보고서를 제출했으며, 이 보고서에서 시험 제형의 SPF 예상값은 SPF 시험 결과와 거의 동일했다. 동일한 논리가 광범위 스펙트럼 시험에도 적용되는데, 이 시험도 중량 기준으로 정의된 자외선차단제 양을 사용한다. 이 정보를 토대로 제안된 SPF 및 광범위 스펙트럼 시험 방법은 스프레이 투여 형태에도 적합하다는 결론을 내린다.</w:t>
      </w:r>
    </w:p>
    <w:p w14:paraId="1DFE2838" w14:textId="3A59BA6B" w:rsidR="006F1819" w:rsidRPr="002C7F14" w:rsidRDefault="006F1819" w:rsidP="00EF791F">
      <w:pPr>
        <w:spacing w:line="264" w:lineRule="auto"/>
        <w:jc w:val="both"/>
        <w:rPr>
          <w:rFonts w:asciiTheme="minorEastAsia" w:eastAsiaTheme="minorEastAsia" w:hAnsiTheme="minorEastAsia" w:cs="맑은 고딕"/>
          <w:sz w:val="20"/>
          <w:szCs w:val="20"/>
          <w:lang w:eastAsia="ko-KR"/>
        </w:rPr>
      </w:pPr>
    </w:p>
    <w:p w14:paraId="308124BF" w14:textId="77777777" w:rsidR="00030079" w:rsidRPr="002C7F14" w:rsidRDefault="00030079" w:rsidP="008E4E2D">
      <w:pPr>
        <w:pStyle w:val="30"/>
        <w:keepNext w:val="0"/>
        <w:numPr>
          <w:ilvl w:val="0"/>
          <w:numId w:val="2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스프레이 자외선차단제의 안전성</w:t>
      </w:r>
    </w:p>
    <w:p w14:paraId="1F517F0D" w14:textId="656B934B" w:rsidR="006F1819" w:rsidRPr="002C7F14" w:rsidRDefault="00030079" w:rsidP="000300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FDA는 스프레이 자외선차단제 투여 형태에 특정한 두 가지 주요 안전성 문제, 즉 (1) 자외선차단제 성분 흡입으로 인한 잠재적 호흡기 피해 위험 및 (2) 스프레이 용매가 완전히 건조되기 전에 소비자가 화염 또는 열에 노출될 때 발생할 수 있는 잠재적 인화성 위험을 확인했다. 아래에 설명된 이유로, 이 두 가지 잠재적 위험이 제안된 제형 제한, 라벨링 요구사항 및 적절한 시험을 통해 수용 가능한 수준으로 완화될 수 있다고 판단하며, 이에 따라 스프레이 투여 형태의 자외선차단제가 GRASE이도록 보장하기 위해 모노그래프에 추가 조건으로 이를 설정할 것을 제안한다.</w:t>
      </w:r>
    </w:p>
    <w:p w14:paraId="23B2A2B0" w14:textId="1717EF24" w:rsidR="006F1819" w:rsidRPr="002C7F14" w:rsidRDefault="006F1819" w:rsidP="00EF791F">
      <w:pPr>
        <w:spacing w:line="264" w:lineRule="auto"/>
        <w:jc w:val="both"/>
        <w:rPr>
          <w:rFonts w:asciiTheme="minorEastAsia" w:eastAsiaTheme="minorEastAsia" w:hAnsiTheme="minorEastAsia" w:cs="맑은 고딕"/>
          <w:sz w:val="20"/>
          <w:szCs w:val="20"/>
          <w:lang w:eastAsia="ko-KR"/>
        </w:rPr>
      </w:pPr>
    </w:p>
    <w:p w14:paraId="0C3DEA35" w14:textId="77677247"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697F44B" w14:textId="64024408" w:rsidR="006F1819" w:rsidRPr="002C7F14" w:rsidRDefault="00030079" w:rsidP="008E4E2D">
      <w:pPr>
        <w:pStyle w:val="30"/>
        <w:keepNext w:val="0"/>
        <w:numPr>
          <w:ilvl w:val="0"/>
          <w:numId w:val="2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흡입 독성</w:t>
      </w:r>
    </w:p>
    <w:p w14:paraId="54736C06" w14:textId="77777777"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대체로 인간의 호흡기계는 상기도(즉, 코에서 후두까지의 기도)와 하기도(기관 및 기관지, 세기관지, 폐포를 비롯한 폐의 분지 기도)로 구성된다(일반적으로 Stuart 1984년; Leikauf 2013년 참조). 호흡기계의 대부분은 점액 세포와 섬모로 구성된 층으로 이루어져 있으며, 이 층은 흡입된 입자를 하기도에서 입으로 기계적으로 밀어내어 삼키거나 뱉을 수 있게 한다(Stuart 1984년; Leikauf 2013년). 뜻하지 않게 흡입될 수 있는 모든 제품과 관련된 가장 중요한 우려사항은 에어로졸(즉, 자외선차단제 스프레이와 같은 공기 중 입자의 현탁액) 입자가 폐의 무섬모 기도에 도달할 때 발생하는 폐 심부 침착과 관련된 부작용의 잠재적 위험이다.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 xml:space="preserve">폐 심부의 무섬모 기도에 도달할 수 있는 입자는 호흡 가능한 것으로 설명되며 천식, 폐기종, 기관지 경련 또는 만성 폐쇄성 폐질환과 같은 심각하나 부작용과 관련이 있을 수 있다. 폐 심부에 도달하지 않는 입자는 상기도의 국소 자극, 기침 또는 재채기와 같은 덜 해로운 부작용과 관련이 있을 수 있다(Leikauf 2013년; Rothe외 공저 2011년; Steiling외 공저 2014년). 유해 에어로졸 흡입과 관련된 잠재적 건강 위험은 독성물질이 호흡기의 특정 부위에 얼마나 많이 침착되어 있는지, 기침, 재채기, 기계적 운반 또는 폐 심부에서 특수 세포나 기타 보호작용에 의한 탐식과 같은 메커니즘을 통해 생리적으로 제거된 후 얼마나 많이 남는지에 따라 달라진다(Stuart 1984년; Brown외 공저 2013년). </w:t>
      </w:r>
    </w:p>
    <w:p w14:paraId="6B04133F"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16633566" w14:textId="77777777"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흡입된 에어로졸의 발병능은 입자가 기도의 어디에 침착되는지에 따라 달라진다(Brown외 공저 2013년). 코나 입으로 흡입되어 체내로 유입되는 분무 입자가 폐에 침착될지 여부는 주로 물리적 특성에 따라 달라진다. 가장 주목할 만한 것은 입자 크기이며, 입자 크기가 감소함에 따라 호흡 가능성이 증가한다(Stuart 1984년; Leikauf 2013년; Rothe외 공저 2011년; Steiling외 공저 2014년; Brown외 공저 2013년; Liu외 공저 2017년). 입자 크기가 흡입된 입자의 호흡가능성에 미치는 영향은 잘 연구되었다. 직경이 10 마이크로미터(µm)를 초과하는 입자는 입과 기도를 거쳐 후두까지 유입될 수 있다는 것에 대한 일반적인 합의가 존재한다. 직경이 10 µm 이하인 입자의 약 50%는 후두를 넘어 호흡기의 흉부 영역까지 침투할 수 있는 반면, 4 µm보다 작은 입자만 무섬모 기도와 폐의 폐포 영역에 도달한다(일반적으로 Stuart 1984년; Leikauf 2013년; Rothe외 공저 2011년; Steiling외 공저 2014년; Brown외 공저 2013년; Liu외 공저 2017년 참조). 따라서 특정 스프레이 자외선차단제 성분의 잠재적인 흡입 독성에 대한 데이터는 거의 없거나 전혀 없지만, 스프레이 자외선차단제에 입자 크기 제한을 부과함으로써 이러한 성분에 유해한 수준까지 노출되는 것을 효과적으로 최소화할 수 있다고 제안한다.</w:t>
      </w:r>
    </w:p>
    <w:p w14:paraId="770457E7"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4DD660C5" w14:textId="45F7D688"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2011년 투여 형태 ANPR에 대한 여러 의견은 흡입된 자외선차단제 또는 그 성분에 대한 노출이 최소화되어 부작용을 일으킬 가능성이 낮다는 것을 보여주기 위해 사용 가능한 방법 및 장비를 사용하여 입자 크기 분포 시험 결과를 제출했다. 제출된 데이터는 유사했고 일부 경우에는 중복되었다. 미국에서 시판된 스프레이 자외선차단제 50개를 대표하는 모든 제출물의 풀링된 입자 크기 분포 데이터를 분석한 결과, 32개는 직경이 4 µm 미만으로 전체 입자 크기 분포의 호흡 가능 부분에 포함된 입자를 포함하고 있었다. 그러나 관찰된 대부분의 입자 크기는 호흡 불가능했다. 모든 제품에서 직경이 4 µm 미만인 입자의 가장 높은 비율은 0.43%였고 평균은 0.22%로 매우 낮았다.</w:t>
      </w:r>
    </w:p>
    <w:p w14:paraId="344B354B"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44483BEA" w14:textId="77777777"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2011년 투여 형태 ANPR에 대한 의견에서 얻은 정보를 검토하는 것 외에도 FDA는 시판된 14개의 스프레이 자외선차단제에 대한 입자 크기 분포에 대한 자체 분석을 실시했다. 이 시험에서 직경이 10 µm 미만인 입자가 10%를 넘는 자외선차단제는 없었고, 5 µm 미만의 입자가 있는 제품은 3개에 불과했다(Liu외 공저 2018년).</w:t>
      </w:r>
    </w:p>
    <w:p w14:paraId="222F464B"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0AA86D43" w14:textId="4FEE0143"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스프레이 자외선차단제의 호흡 가능한 입자에 대한 의도치 않는 노출 및 잠재적인 관련 부작용 위험을 제한하기 위해, 이러한 제품이 GRASE이도록 완성된 스프레이 자외선차단제의 소비자 용기에서 분사되는 입자의 크기에 대한 제한을 제안하고 있다. 소비자 용기에서 분사되는 입자의 90%가 후두 너머로 노출되는 것을 제한하고 폐 심부에서의 침착을 방지하기 위해 최소 10 µm 이상이어야 하고, 소비자 용기에서 분사되는 최소 입자 크기는 5 µm 이상이어야 한다고 제안한다. 이 제한은 입자가 무섬모 기도로 유입되는 일반적으로 허용된 임계값(4 µm)을 초과하는 가장 작은 정수이고, 입자 크기 측정에 내재되어 있을 수 있는 실험 오류를 허용하기 때문에 선택되었다. 두 가지 제한을 모두 충족하지 않는 자외선차단제는 안전성에 대한 긍정적인 결과를 뒷받침할 증거가 부족하기 때문에 GRASE가 아니다(FD&amp;C법 제505G(b)(1)(C)(ii)조 참조). 이 두 가지 제한사항을 결합하면 입자가 후두 및 폐 심부 조직에 노출되는 것을 줄여 스프레이 자외선차단제의 흡입으로 인한 위험이 크게 감소할 것으로 판단한다.</w:t>
      </w:r>
    </w:p>
    <w:p w14:paraId="7A7457C9"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5C58BFEA" w14:textId="2C569761"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이 두 가지 제한을 설정함으로써 스프레이 자외선차단제의 의도치 않은 흡입과 관련된 부작용 위험이 최소화될 것으로 판단한다. 이해관계자는 주로 시판된 스프레이의 입자 크기에 근거하여 흡입 독성 위험이 이미 낮다고 주장했다. 이상사례 보고서 및 동물 독성 연구에 대한 제한된 데이터가 20</w:t>
      </w:r>
      <w:r w:rsidR="00535E4D" w:rsidRPr="002C7F14">
        <w:rPr>
          <w:rFonts w:asciiTheme="minorEastAsia" w:eastAsiaTheme="minorEastAsia" w:hAnsiTheme="minorEastAsia"/>
          <w:sz w:val="20"/>
          <w:szCs w:val="20"/>
          <w:lang w:eastAsia="ko-KR"/>
        </w:rPr>
        <w:t>11</w:t>
      </w:r>
      <w:r w:rsidRPr="002C7F14">
        <w:rPr>
          <w:rFonts w:asciiTheme="minorEastAsia" w:eastAsiaTheme="minorEastAsia" w:hAnsiTheme="minorEastAsia" w:hint="eastAsia"/>
          <w:sz w:val="20"/>
          <w:szCs w:val="20"/>
          <w:lang w:eastAsia="ko-KR"/>
        </w:rPr>
        <w:t>년 투여 형태 ANPR에 대한 소수 의견에서 제출되었지만, 입자 크기 제한이 없는 상황에서 스프레이 자외선차단제의 안전성을 뒷받침하기에 불충분했다. 그러나 여기에 제안된 입자 크기 제한이 채택될 경우, 스프레이 자외선차단제에 대한 GRASE 결과를 뒷받침하기 위해 추가적인 동물 독성 또는 기타 안전성 데이터를 제공할 필요가 있다고 판단하지 않는다.</w:t>
      </w:r>
    </w:p>
    <w:p w14:paraId="53C764A0"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6C468D3B" w14:textId="20E7389A"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제안된 제한사항을 준수함을 입증하기 위한 입자 크기 시험은 소비자 용기에서 분사되는 스프레이 제품에 대해 제211부(연방규정 제21편 제211부)에 따른 현행 우수제조관리기준(CGMP)의 일환으로 정기적으로 이루어지는 로트 출하 시험의 일부로 수행되어야 한다고 제안하고 있다. 소비자의 사용 조건에서 입자 크기 요구사항이 충족되도록 보장하기 위해 소비자 용기에서 분사되는 입자 크기를 시험하는 것이 필요하다.</w:t>
      </w:r>
    </w:p>
    <w:p w14:paraId="69A50552" w14:textId="52ED93FD"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7ACA0269" w14:textId="77777777"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제안된 </w:t>
      </w:r>
      <w:r w:rsidRPr="002C7F14">
        <w:rPr>
          <w:rFonts w:asciiTheme="minorEastAsia" w:eastAsiaTheme="minorEastAsia" w:hAnsiTheme="minorEastAsia" w:hint="eastAsia"/>
          <w:i/>
          <w:iCs/>
          <w:sz w:val="20"/>
          <w:szCs w:val="20"/>
          <w:lang w:eastAsia="ko-KR"/>
        </w:rPr>
        <w:t>입자 크기</w:t>
      </w:r>
      <w:r w:rsidRPr="002C7F14">
        <w:rPr>
          <w:rFonts w:asciiTheme="minorEastAsia" w:eastAsiaTheme="minorEastAsia" w:hAnsiTheme="minorEastAsia" w:hint="eastAsia"/>
          <w:sz w:val="20"/>
          <w:szCs w:val="20"/>
          <w:lang w:eastAsia="ko-KR"/>
        </w:rPr>
        <w:t xml:space="preserve"> 요구사항의 목적상, 입자 크기라는 용어는 제품을 적용할 때 소비자가 흡입할 수 있는 스프레이 용기에서 방출된 개별 단위를 의미하는 광의의 의미로 사용하고 있다. 소비자 용기에서 분사된 </w:t>
      </w:r>
      <w:r w:rsidRPr="002C7F14">
        <w:rPr>
          <w:rFonts w:asciiTheme="minorEastAsia" w:eastAsiaTheme="minorEastAsia" w:hAnsiTheme="minorEastAsia" w:hint="eastAsia"/>
          <w:i/>
          <w:iCs/>
          <w:sz w:val="20"/>
          <w:szCs w:val="20"/>
          <w:lang w:eastAsia="ko-KR"/>
        </w:rPr>
        <w:t>입자</w:t>
      </w:r>
      <w:r w:rsidRPr="002C7F14">
        <w:rPr>
          <w:rFonts w:asciiTheme="minorEastAsia" w:eastAsiaTheme="minorEastAsia" w:hAnsiTheme="minorEastAsia" w:hint="eastAsia"/>
          <w:sz w:val="20"/>
          <w:szCs w:val="20"/>
          <w:lang w:eastAsia="ko-KR"/>
        </w:rPr>
        <w:t xml:space="preserve">가 크기 요구사항을 충족하는 액적인 경우, 소비자가 우발적으로 이를 폐 심부로 흡입하지 않는다. 그러나 동일한 액적이 소비자 용기에서 분사될 때 더 작은 파편으로 분해된다면, 이 파편들은 소비자가 의도치 않게 후두를 지나 흡입하지 않도록 보장하기 위해 크기 요구사항을 충족해야 하는 </w:t>
      </w:r>
      <w:r w:rsidRPr="002C7F14">
        <w:rPr>
          <w:rFonts w:asciiTheme="minorEastAsia" w:eastAsiaTheme="minorEastAsia" w:hAnsiTheme="minorEastAsia" w:hint="eastAsia"/>
          <w:i/>
          <w:iCs/>
          <w:sz w:val="20"/>
          <w:szCs w:val="20"/>
          <w:lang w:eastAsia="ko-KR"/>
        </w:rPr>
        <w:t>입자</w:t>
      </w:r>
      <w:r w:rsidRPr="002C7F14">
        <w:rPr>
          <w:rFonts w:asciiTheme="minorEastAsia" w:eastAsiaTheme="minorEastAsia" w:hAnsiTheme="minorEastAsia" w:hint="eastAsia"/>
          <w:sz w:val="20"/>
          <w:szCs w:val="20"/>
          <w:lang w:eastAsia="ko-KR"/>
        </w:rPr>
        <w:t xml:space="preserve">가 된다. </w:t>
      </w:r>
    </w:p>
    <w:p w14:paraId="32CB7E5E"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43BB9851" w14:textId="77777777"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본 기관은 스프레이 자외선차단제 입자 크기에 대한 구체적인 시험 방법론을 제안하지 않는다. 대신, 자외선차단제 제조업자는 자외선차단제 스프레이에 대한 입자 크기 시험이 최종 제품의 각 로트에 대해 적절한 서면 규격에 따라 소비자 용기에서 분사된 상태로 수행되도록 보장할 의무가 있다. 미국 약전(USP) 일반 제429장은 액적/입자 크기 분포를 측정하는 방법을 포함하는 스프레이, 에어로졸 및 파우더에 대한 방법론 및 요구사항을 제공하며, USP에 따라 수행된 시험은 제안된 이 요구사항을 충족하기에 적절하다고 간주될 것으로 예상한다(미국 약전 2021년).</w:t>
      </w:r>
    </w:p>
    <w:p w14:paraId="0ECF2FCC"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3D696CD1" w14:textId="10FA214F"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2011년 투여 형태 ANPR에 대한 여러 의견이 (활성성분 및 비활성성분으로) 나노물질을 함유한 스프레이 자외선차단제 노출로 인한 잠재적 흡입 위험에 대한 우려를 표명했음에 주목한다. 또한 한 의견은 FDA가 스프레이 자외선차단제 라벨에 이러한 성분의 존재를 공개하도록 요구할 것을 권고했다. 자외선차단제의 나노기술 및 나노물질에 대한 FDA의 접근방식은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B.v에서 논의한다. FDA는 현재 나노물질의 존재 여부를 기준으로 구별하는 라벨링을 비롯하여 스프레이 자외선차단제의 사용 조건을 제안하지 않고 있는데, 소비자 용기에서 분사될 때 5µm보다 작은 입자가 포함된 자외선차단제 스프레이는 GRASE가 아니라고 제안하고 있기 때문이다. 스프레이 자외선차단제의 나노물질과 관련하여 흡입 위험의 주요 결정 요인은 방출된 스프레이의 입자 크기이며, 개별 제형 성분보다 클 수 있다. 나노크기 성분은 스프레이 자외선차단제의 입자 크기 제한을 통과하지 못한다. 따라서 입자 크기 시험 동안 소비자 용기에서 분사될 때 검출되어야 한다면, 해당 자외선차단제는 OTC 모노그래프에 따라 시판할 수 없다.</w:t>
      </w:r>
    </w:p>
    <w:p w14:paraId="10806140" w14:textId="77777777" w:rsidR="00030079" w:rsidRPr="002C7F14" w:rsidRDefault="00030079" w:rsidP="00030079">
      <w:pPr>
        <w:spacing w:line="264" w:lineRule="auto"/>
        <w:jc w:val="both"/>
        <w:rPr>
          <w:rFonts w:asciiTheme="minorEastAsia" w:eastAsiaTheme="minorEastAsia" w:hAnsiTheme="minorEastAsia" w:cs="맑은 고딕"/>
          <w:sz w:val="20"/>
          <w:szCs w:val="20"/>
          <w:lang w:eastAsia="ko-KR"/>
        </w:rPr>
      </w:pPr>
    </w:p>
    <w:p w14:paraId="74929587" w14:textId="281F8721" w:rsidR="00EC4BD5" w:rsidRPr="002C7F14" w:rsidRDefault="00030079" w:rsidP="000300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자외선차단제 스프레이 및 관련 시험에 대해 제안된 입자 크기 제한 외에도, 의도치 않은 흡입을 최소화하기 위해 자외선차단제 스프레이의 사용 지침에 다음과 같은 라벨링 정보를 포함시킬 것을 제안하고 있다.</w:t>
      </w:r>
    </w:p>
    <w:p w14:paraId="4B84B6C7" w14:textId="2F73E3F1"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A49D05B" w14:textId="77777777" w:rsidR="00030079" w:rsidRPr="002C7F14" w:rsidRDefault="00030079" w:rsidP="00030079">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피부에서 4~6인치 떨어진 곳에 용기를 위치시켜 적용하십시오.</w:t>
      </w:r>
    </w:p>
    <w:p w14:paraId="2CCB2CE5" w14:textId="77777777" w:rsidR="00030079" w:rsidRPr="002C7F14" w:rsidRDefault="00030079" w:rsidP="00030079">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얼굴에 직접 분사하지 마십시오. 손에 뿌린 다음 얼굴에 바르십시오.</w:t>
      </w:r>
    </w:p>
    <w:p w14:paraId="09860E02" w14:textId="77777777" w:rsidR="00030079" w:rsidRPr="002C7F14" w:rsidRDefault="00030079" w:rsidP="00030079">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바람이 많이 부는 날씨에는 바르지 마십시오.</w:t>
      </w:r>
    </w:p>
    <w:p w14:paraId="76D41AC5" w14:textId="77777777" w:rsidR="00030079" w:rsidRPr="002C7F14" w:rsidRDefault="00030079" w:rsidP="00030079">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통풍이 잘 되는 곳에서 사용하고 흡입을 피하십시오.</w:t>
      </w:r>
    </w:p>
    <w:p w14:paraId="4213F2AC" w14:textId="77777777" w:rsidR="00030079" w:rsidRPr="002C7F14" w:rsidRDefault="00030079" w:rsidP="000300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문구는 2011년 투여 형태 ANPR에 제시된 것과 동일하다. 이 문구의 채택은 2011년 투여 형태 ANPR에 대한 의견으로 뒷받침되었으며, 이 문구는 현재 시판 중인 스프레이 자외선차단제에 널리 사용되고 있다.</w:t>
      </w:r>
    </w:p>
    <w:p w14:paraId="0BFC54B1" w14:textId="77777777"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p>
    <w:p w14:paraId="3D16F363" w14:textId="77777777" w:rsidR="00500753" w:rsidRPr="002C7F14" w:rsidRDefault="00500753" w:rsidP="008E4E2D">
      <w:pPr>
        <w:pStyle w:val="30"/>
        <w:keepNext w:val="0"/>
        <w:numPr>
          <w:ilvl w:val="0"/>
          <w:numId w:val="22"/>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인화성 위험</w:t>
      </w:r>
    </w:p>
    <w:p w14:paraId="34840198" w14:textId="5143606F" w:rsidR="00500753" w:rsidRPr="002C7F14" w:rsidRDefault="00500753" w:rsidP="0050075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2013년 7월, FDA는 개방된 화염 근처에서 스프레이 자외선차단제를 적용하다 불이 붙은 사람에 대한 소비자 업데이트를 발행했다.</w:t>
      </w:r>
    </w:p>
    <w:p w14:paraId="473DFBE2" w14:textId="77777777" w:rsidR="00500753" w:rsidRPr="002C7F14" w:rsidRDefault="00500753" w:rsidP="00500753">
      <w:pPr>
        <w:spacing w:line="264" w:lineRule="auto"/>
        <w:jc w:val="both"/>
        <w:rPr>
          <w:rFonts w:asciiTheme="minorEastAsia" w:eastAsiaTheme="minorEastAsia" w:hAnsiTheme="minorEastAsia" w:cs="맑은 고딕"/>
          <w:sz w:val="20"/>
          <w:szCs w:val="20"/>
          <w:lang w:eastAsia="ko-KR"/>
        </w:rPr>
      </w:pPr>
    </w:p>
    <w:p w14:paraId="2FF4FADF" w14:textId="77777777" w:rsidR="00500753" w:rsidRPr="002C7F14" w:rsidRDefault="00500753" w:rsidP="00500753">
      <w:pPr>
        <w:pStyle w:val="a9"/>
        <w:spacing w:line="264" w:lineRule="auto"/>
        <w:ind w:left="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식품의약국(FDA)은 화염원 근처에서 자외선 차단 스프레이를 뿌린 사람이 의학적 치료가 필요한 심각한 화상을 입은 5건의 별도 사건을 인지하게 되었다. 이러한 사례에서 사용된 것으로 보고된 특정 제품은 자발적으로 시장에서 리콜되었으므로, 더 이상 매장 진열대에 두어서는 안 된다... 그러나 FDA에 보고된 5건의 사건에서 화상은 자외선 차단 스프레이를 적용한 후 화상이 발생했다. 발화원은 다양했는데, 담배에 불을 붙이거나 켜진 시트로넬라 양초에 너무 가까이 서 있거나 그릴에 가까이 가거나 용접하는 행위가 포함되었다(FDA 2013년).</w:t>
      </w:r>
    </w:p>
    <w:p w14:paraId="64491AD2" w14:textId="77777777" w:rsidR="00500753" w:rsidRPr="002C7F14" w:rsidRDefault="00500753" w:rsidP="00500753">
      <w:pPr>
        <w:spacing w:line="264" w:lineRule="auto"/>
        <w:jc w:val="both"/>
        <w:rPr>
          <w:rFonts w:asciiTheme="minorEastAsia" w:eastAsiaTheme="minorEastAsia" w:hAnsiTheme="minorEastAsia" w:cs="맑은 고딕"/>
          <w:sz w:val="20"/>
          <w:szCs w:val="20"/>
          <w:lang w:eastAsia="ko-KR"/>
        </w:rPr>
      </w:pPr>
    </w:p>
    <w:p w14:paraId="6396D403" w14:textId="77777777" w:rsidR="00500753" w:rsidRPr="002C7F14" w:rsidRDefault="00500753" w:rsidP="0050075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사례는 모두 자발적으로 리콜된 단일 제조업자의 제품과 관련이 있다. 그러나 자외선차단제는 종종 주변 공기 온도가 높은 매우 더운 실외 환경에서 사용된다. 또한 자외선차단제는 그릴, 모닥불, 흡연 또는 기타 발화원 등 화염 또는 불꽃 발생원 주변에서도 자주 사용된다. 스프레이 자외선차단제의 안전한 사용을 보장하고 소비자에게 잠재적 인화성 위험에 대해 더 잘 알리기 위해, 인화성을 제한하고 OTC 자외선차단제 모노그래프에 따라 스프레이 자외선차단제의 인화성 라벨링을 요구할 것을 제안하고 있다.</w:t>
      </w:r>
    </w:p>
    <w:p w14:paraId="2C505C3F" w14:textId="77777777" w:rsidR="00500753" w:rsidRPr="002C7F14" w:rsidRDefault="00500753" w:rsidP="00500753">
      <w:pPr>
        <w:spacing w:line="264" w:lineRule="auto"/>
        <w:jc w:val="both"/>
        <w:rPr>
          <w:rFonts w:asciiTheme="minorEastAsia" w:eastAsiaTheme="minorEastAsia" w:hAnsiTheme="minorEastAsia" w:cs="맑은 고딕"/>
          <w:sz w:val="20"/>
          <w:szCs w:val="20"/>
          <w:lang w:eastAsia="ko-KR"/>
        </w:rPr>
      </w:pPr>
    </w:p>
    <w:p w14:paraId="478DC7CE" w14:textId="3DB6EC29" w:rsidR="00500753" w:rsidRPr="002C7F14" w:rsidRDefault="00500753" w:rsidP="0050075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OTC 의약품에 대한 FDA의 일반 라벨링 규정은 OTC 모노그래프가 적절한 경우 인화성 라벨링을 요구하도록 규정하고 있으며(연방규정 제21편 제201.66(c)(5)(ii)(C)조), 국소 진해제(M012) 및 사마귀 제거제(M028)과 같은 제품에 대해 이렇게 했다. 이러한 제품에 대해 했던 것과 마찬가지로, 각 스프레이 자외선차단제 제형이 소비자제품안전위원회(CPSC)에서 발행한 규제 조항에 설명된 시험 방법에 따라 인화성에 대해 라벨링할 것을 요구하고 있다(연방규정 제16편 제1500.43a조 참조). 피부에 분사된 후 스프레이 투여 형태 자외선차단제의 인화성에 대한 우려를 해결하기 위해 이 인화점 시험 방법론을 통합할 것을 제안했다. 따라서 자외선 차단 스프레이 제품의 모든 배치는 CGMP 요구사항에 따라 수행되는 배치 출하 시험의 일부로 연방규정 제16편 제1500.43a에 따라 인화성 시험을 수행할 것을 제안한다. 규정은 시간이 지남에 따라 변경될 수 있으므로, 명령안은 이러한 시험이 1986년 8월 8일 처음 규정이 고시되었을 때 설명된 절차를 사용하여 이러한 시험을 수행해야 한다고 규정한다(연방관보 51권 28539 페이지). </w:t>
      </w:r>
    </w:p>
    <w:p w14:paraId="2D8EC3BA"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25370028" w14:textId="0093599C" w:rsidR="00500753" w:rsidRPr="002C7F14" w:rsidRDefault="00500753" w:rsidP="0050075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또한 자외선차단제를 규제하고 라벨링하는 데 사용할 세 가지 가연성 범주, 즉 (1) 극인화성, (2) 인화성 및 (3) 가연성을 정의할 것을 제안한다. 이러한 정의는 연방규정 제16편 제1500.43a조에 설명된 방법을 사용하여 수행되는 인화점 시험을 참조한다. 이러한 정의는 연방규정 제16편 제1500.3조에 제시된 특정 CPSC 정의와 유사하다. 자외선차단제가 사용될 수 있는 조건을 감안할 때, 제안된 § M020.3(d)의 </w:t>
      </w:r>
      <w:r w:rsidRPr="002C7F14">
        <w:rPr>
          <w:rFonts w:asciiTheme="minorEastAsia" w:eastAsiaTheme="minorEastAsia" w:hAnsiTheme="minorEastAsia" w:hint="eastAsia"/>
          <w:i/>
          <w:sz w:val="20"/>
          <w:szCs w:val="20"/>
          <w:lang w:eastAsia="ko-KR"/>
        </w:rPr>
        <w:t>극인화성</w:t>
      </w:r>
      <w:r w:rsidRPr="002C7F14">
        <w:rPr>
          <w:rFonts w:asciiTheme="minorEastAsia" w:eastAsiaTheme="minorEastAsia" w:hAnsiTheme="minorEastAsia" w:hint="eastAsia"/>
          <w:sz w:val="20"/>
          <w:szCs w:val="20"/>
          <w:lang w:eastAsia="ko-KR"/>
        </w:rPr>
        <w:t xml:space="preserve"> 정의를 충족하는 것으로 확인된 스프레이 자외선차단제는 GRASE가 아니며 관련 증거에 근거할 때 이러한 자외선차단제는 FD&amp;C법 제201(p)(1)조(FD&amp;C법 제505G(b)(1)(C)(i)조 참조)에 따라 GRASE가 아니기 때문에 OTC 자외선차단제 모노그래프에 따라 시판할 수 없다고 제안하고 있다. 제안된 § M020.3(e) 또는 (f)에 명시된 </w:t>
      </w:r>
      <w:r w:rsidRPr="002C7F14">
        <w:rPr>
          <w:rFonts w:asciiTheme="minorEastAsia" w:eastAsiaTheme="minorEastAsia" w:hAnsiTheme="minorEastAsia" w:hint="eastAsia"/>
          <w:i/>
          <w:sz w:val="20"/>
          <w:szCs w:val="20"/>
          <w:lang w:eastAsia="ko-KR"/>
        </w:rPr>
        <w:t>인화성</w:t>
      </w:r>
      <w:r w:rsidRPr="002C7F14">
        <w:rPr>
          <w:rFonts w:asciiTheme="minorEastAsia" w:eastAsiaTheme="minorEastAsia" w:hAnsiTheme="minorEastAsia" w:hint="eastAsia"/>
          <w:sz w:val="20"/>
          <w:szCs w:val="20"/>
          <w:lang w:eastAsia="ko-KR"/>
        </w:rPr>
        <w:t xml:space="preserve"> 또는 </w:t>
      </w:r>
      <w:r w:rsidRPr="002C7F14">
        <w:rPr>
          <w:rFonts w:asciiTheme="minorEastAsia" w:eastAsiaTheme="minorEastAsia" w:hAnsiTheme="minorEastAsia" w:hint="eastAsia"/>
          <w:i/>
          <w:sz w:val="20"/>
          <w:szCs w:val="20"/>
          <w:lang w:eastAsia="ko-KR"/>
        </w:rPr>
        <w:t>가연성</w:t>
      </w:r>
      <w:r w:rsidRPr="002C7F14">
        <w:rPr>
          <w:rFonts w:asciiTheme="minorEastAsia" w:eastAsiaTheme="minorEastAsia" w:hAnsiTheme="minorEastAsia" w:hint="eastAsia"/>
          <w:sz w:val="20"/>
          <w:szCs w:val="20"/>
          <w:lang w:eastAsia="ko-KR"/>
        </w:rPr>
        <w:t xml:space="preserve"> 정의를 충족하는 것으로 확인된 제품은 의약품 사실정보 라벨링의 "경고" 섹션에 다음 문구를 포함해야 한다. [글머리 기호] "인화성" 또는 "가연성" [해당되는 경우] 뒤에 콜론과 "화기 또는 화염에서 멀리 보관하십시오"라는 문구를 표시한다.</w:t>
      </w:r>
    </w:p>
    <w:p w14:paraId="2FE15A77"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4A0DBB99" w14:textId="4976B17B" w:rsidR="00500753" w:rsidRPr="002C7F14" w:rsidRDefault="00500753" w:rsidP="0050075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인화성과 관련된 또 다른 우려사항은 소비자가 열이나 화염 발생원에 안전하게 접근하거나 화재 위험 없이 흡연할 수 있기 전에 스프레이 제품의 휘발성 용매가 피부에서 마르는 데 걸리는 시간이다. 일반적인 자외선차단제 스프레이 제형은 휘발성 담체(가장 일반적으로 에틸 알코올)가 50~80% 함유되어 있다. 이러한 휘발성 용매는 제품을 피부에 분사할 수 있도록 제형에 필요하다. 분사 후 용매는 빠르게 증발하여 제품이 건조됨에 따라 피부 표면에 UV 필터 필름을 남기도록 설계되었다. 스프레이 제품이 건조되면 용매가 더 이상 존재하지 않으므로 인화성 위험은 낮다. 그러나 이 시점 이전에는 인화성 위험이 더 높을 것이다.</w:t>
      </w:r>
    </w:p>
    <w:p w14:paraId="6983AA20"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21EF989B" w14:textId="0BE2B7D9" w:rsidR="00500753" w:rsidRPr="002C7F14" w:rsidRDefault="00500753" w:rsidP="00500753">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인화성 또는 가연성 자외선 차단 스프레이가 건조되는 동안 화염원에서 멀리 떨어져 있도록 소비자에게 경고해야 한다고 판단한다. 이러한 이유로, § M020.3(e) 또는 (f)의 </w:t>
      </w:r>
      <w:r w:rsidRPr="002C7F14">
        <w:rPr>
          <w:rFonts w:asciiTheme="minorEastAsia" w:eastAsiaTheme="minorEastAsia" w:hAnsiTheme="minorEastAsia" w:hint="eastAsia"/>
          <w:i/>
          <w:sz w:val="20"/>
          <w:szCs w:val="20"/>
          <w:lang w:eastAsia="ko-KR"/>
        </w:rPr>
        <w:t>인화성</w:t>
      </w:r>
      <w:r w:rsidRPr="002C7F14">
        <w:rPr>
          <w:rFonts w:asciiTheme="minorEastAsia" w:eastAsiaTheme="minorEastAsia" w:hAnsiTheme="minorEastAsia" w:hint="eastAsia"/>
          <w:sz w:val="20"/>
          <w:szCs w:val="20"/>
          <w:lang w:eastAsia="ko-KR"/>
        </w:rPr>
        <w:t xml:space="preserve"> 또는 </w:t>
      </w:r>
      <w:r w:rsidRPr="002C7F14">
        <w:rPr>
          <w:rFonts w:asciiTheme="minorEastAsia" w:eastAsiaTheme="minorEastAsia" w:hAnsiTheme="minorEastAsia" w:hint="eastAsia"/>
          <w:i/>
          <w:sz w:val="20"/>
          <w:szCs w:val="20"/>
          <w:lang w:eastAsia="ko-KR"/>
        </w:rPr>
        <w:t>가연성</w:t>
      </w:r>
      <w:r w:rsidRPr="002C7F14">
        <w:rPr>
          <w:rFonts w:asciiTheme="minorEastAsia" w:eastAsiaTheme="minorEastAsia" w:hAnsiTheme="minorEastAsia" w:hint="eastAsia"/>
          <w:sz w:val="20"/>
          <w:szCs w:val="20"/>
          <w:lang w:eastAsia="ko-KR"/>
        </w:rPr>
        <w:t xml:space="preserve"> 정의를 충족하는 자외선 차단 스프레이의 각 배치가 서면 규격에 따라 건조 시간에 대한 시험을 거쳐야 한다고 제안한다. 건조 시간이 5분 미만인 경우, "제품 적용 후 열원 또는 화염원에 접근하거나 흡연하기 전에 5분간 기다리십시오"라는 문구를 라벨에 명시하도록 요구할 것을 제안한다. 건조 시간이 5분 이상 10분 미만인 경우, "제품 적용 후 열원 또는 화염원에 접근하거나 흡연하기 전에 10분간 기다리십시오"라는 문구를 라벨에 명시해야 한다고 제안한다. 인화성 또는 가연성이고 건조하는 데 10분 이상 걸리는 자외선 차단 스프레이는 이처럼 긴 건조 시간 동안 소비자가 화염원에 접근할 가능성이 있기 때문에 FD&amp;C법 제505G(b)(1)(C)(i)조에 따라 GRASE가 아니라고 제안한다. 이 접근방식에 대한 의견을 요청한다.</w:t>
      </w:r>
    </w:p>
    <w:p w14:paraId="60F2D1C5" w14:textId="5871A5A5" w:rsidR="0030232A" w:rsidRPr="002C7F14" w:rsidRDefault="0030232A"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4D8B3087" w14:textId="77777777" w:rsidR="0030232A" w:rsidRPr="002C7F14" w:rsidRDefault="0030232A" w:rsidP="008E4E2D">
      <w:pPr>
        <w:pStyle w:val="a8"/>
        <w:numPr>
          <w:ilvl w:val="0"/>
          <w:numId w:val="21"/>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파우더 투여 형태</w:t>
      </w:r>
    </w:p>
    <w:p w14:paraId="6FD17CCA"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파우더 투여 형태의 자외선차단제가 GRASE라는 결론을 뒷받침하고 적절한 라벨링 고려를 뒷받침하기 위해 아래에 설명된 추가 데이터가 필요하다는 잠정 결정을 내렸다. 이러한 이유로 파우더 자외선차단제는 FD&amp;C법 제201(p)(1)조(FD&amp;C법 제505G(b)(1)(C)(ii)조 참조)에 따라 GRASE임을 입증하는 증거가 불충분하기 때문에 GRASE가 아니라고 제안한다. 또한 스프레이와 마찬가지로 파우더 자외선차단제는 의도치 않은 흡입 가능성이 있으며, 이러한 이유로 자외선차단제 모노그래프에 채택될 경우, 여기에서 스프레이에 대해 제안된 입자 크기에 대한 동일한 제한이 적용될 것으로 예상된다. 스프레이에 대해 제안된 입자 크기 제한을 충족하는 파우더 자외선차단제의 경우, 흡입과 관련된 잠재적 건강 위험을 해결하기 위해 추가 독성 데이터가 필요할 것으로 예상하지 않는다.</w:t>
      </w:r>
    </w:p>
    <w:p w14:paraId="52AD31BD"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595A1047"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2011년 투여 형태 ANPR에 대한 한 의견은 5가지 파우더 제형의 SPF 및 광범위 스펙트럼 성능에 대한 데이터뿐만 아니라 안전성 문제가 없다고 주장된 반복 자극 패치 시험 및 광과민성 연구 데이터를 제공했다. FDA는 5가지 파우더 자외선차단제에 대한 입자 분포 시험을 실시했다. 시험된 파우더 자외선차단제는 스프레이에 비해 상대적으로 작은 입자의 비중이 더 컸다. 5가지 파우더 자외선차단제 중 1가지만이 본 기관이 고려하고 있는 요구사항, 즉 입자의 10% 이하가 직경 10 µm 미만일 수 있다는 요구사항을 준수했으며, 이 제품은 직경이 5 µm 미만인 입자가 없어야 한다는 예정된 제한을 충족했을 유일한 제품이기도 했다(Liu외 공저 2017년; Liu외 공저 2018년). 제출된 데이터를 바탕으로, 다른 자외선차단제 투여 형태에 사용되는 SPF 및 광범위 스펙트럼 시험 방법이 파우더 자외선차단제에도 적합하다고 판단하며, 스프레이 자외선차단제에 대해 제안된 동일한 입자 크기 제한을 충족하는 파우더에 대한 추가적인 호흡기 안전성 정보를 요청하지 않는다.</w:t>
      </w:r>
    </w:p>
    <w:p w14:paraId="6F2F4DDB"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04CAB124"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파우더 자외선차단제와 관련된 다음 주제에 대한 의견과 데이터를 요청한다.</w:t>
      </w:r>
    </w:p>
    <w:p w14:paraId="6EFA58D0"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152E203F"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소비자가 일반적으로 파우더 자외선차단제를 얼마나 사용하는가?</w:t>
      </w:r>
    </w:p>
    <w:p w14:paraId="2597CDF5"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피부에 효과적으로 전달되는 파우더 자외선차단제의 양은 얼마인가?</w:t>
      </w:r>
    </w:p>
    <w:p w14:paraId="4BC4E4E7"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햇빛에 노출된 피부 부위에 자외선차단제가 얼마나 고르게 적용되는가?</w:t>
      </w:r>
    </w:p>
    <w:p w14:paraId="5B8E54E6"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소비자는 얼마나 자주 제품을 재적용하는가?</w:t>
      </w:r>
    </w:p>
    <w:p w14:paraId="1AEC8934" w14:textId="7E5BD35E" w:rsidR="00EC4BD5"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파우더를 피부에 문지르면 자외선차단제의 효과가 달라지는가?</w:t>
      </w:r>
    </w:p>
    <w:p w14:paraId="4C189D75"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파우더 투여 형태가 내수성인가? 내수성이 아닌 경우, 2시간마다 재적용하라는 지침이 안전하고 효과적인 사용을 보장하기에 충분한가?</w:t>
      </w:r>
    </w:p>
    <w:p w14:paraId="675D70D0"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파우더 투여 제형을 햇빛에 노출된 모든 피부 부위에 안전하고 효과적으로 사용할 수 있는가? 아니면 이 투여 형태는 얼굴에만 사용해야 하는가?</w:t>
      </w:r>
    </w:p>
    <w:p w14:paraId="06BDB734" w14:textId="77777777" w:rsidR="0030232A" w:rsidRPr="002C7F14" w:rsidRDefault="0030232A" w:rsidP="0030232A">
      <w:pPr>
        <w:pStyle w:val="a8"/>
        <w:numPr>
          <w:ilvl w:val="0"/>
          <w:numId w:val="8"/>
        </w:numPr>
        <w:spacing w:afterLines="100" w:after="240"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자외선차단제 파우더의 입자 크기 제한 또는 시험 방법과 관련하여 어떤 요소를 고려해야 하는가?</w:t>
      </w:r>
    </w:p>
    <w:p w14:paraId="3729FEFD" w14:textId="77777777" w:rsidR="0030232A" w:rsidRPr="002C7F14" w:rsidRDefault="0030232A" w:rsidP="0030232A">
      <w:pPr>
        <w:pStyle w:val="a8"/>
        <w:numPr>
          <w:ilvl w:val="0"/>
          <w:numId w:val="8"/>
        </w:numPr>
        <w:spacing w:line="264" w:lineRule="auto"/>
        <w:ind w:leftChars="0" w:left="1673" w:hanging="397"/>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입자 크기 시험에 영향을 미치는 파우더 유형(예: 루즈 파우더, 콤팩트 파우더) 또는 어플리케이터 간에 중요한 차이가 있는가?</w:t>
      </w:r>
    </w:p>
    <w:p w14:paraId="6127F31E"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268D31BC" w14:textId="54A6C37A" w:rsidR="00030079" w:rsidRPr="002C7F14" w:rsidRDefault="0030232A" w:rsidP="0030232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FDA는 이러한 질문에 대한 응답으로 제출된 데이터와 정보 및 제출된 다른 데이터를 평가하여 이 투여 형태의 자외선차단제가 GRASE라는 최종 결정을 뒷받침하는지 여부를 판단한다.</w:t>
      </w:r>
    </w:p>
    <w:p w14:paraId="1BCCB21A" w14:textId="4AFDF4F9"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p>
    <w:p w14:paraId="0BABC90E" w14:textId="77777777" w:rsidR="0030232A" w:rsidRPr="002C7F14" w:rsidRDefault="0030232A" w:rsidP="00EF791F">
      <w:pPr>
        <w:spacing w:line="264" w:lineRule="auto"/>
        <w:jc w:val="both"/>
        <w:rPr>
          <w:rFonts w:asciiTheme="minorEastAsia" w:eastAsiaTheme="minorEastAsia" w:hAnsiTheme="minorEastAsia" w:cs="맑은 고딕"/>
          <w:sz w:val="20"/>
          <w:szCs w:val="20"/>
          <w:lang w:eastAsia="ko-KR"/>
        </w:rPr>
      </w:pPr>
    </w:p>
    <w:p w14:paraId="56046028" w14:textId="77777777" w:rsidR="0030232A" w:rsidRPr="002C7F14" w:rsidRDefault="0030232A" w:rsidP="008E4E2D">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 최대 SPF 및 광범위 스펙트럼 요구사항</w:t>
      </w:r>
    </w:p>
    <w:p w14:paraId="00E9C02B"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1999년 최종 모노그래프에서 FDA는 SPF 30+를 자외선차단제 모노그래프 제품의 최대 라벨링 SPF 값으로 설정했으며, 각 자외선차단제 모노그래프 활성성분이 완성된 자외선차단제에 최소 SPF 2를 제공하도록 요구했다(연방관보 64권 27666~27672, 27674 및 27675 페이지). 최종 모노그래프는 광범위 스펙트럼 차단에 관한 조항을 포함하지 않았다. 그러나 최종 모노그래프를 보류하기로 한 2001년 결정에서 FDA는 UVA 및 UVB 방사선 차단에 대한 요구사항을 해결하기 위해 자외선차단제 모노그래프를 개정하려고 했기 때문에 보류를 발표했다고 밝혔다(연방관보 66권 67485 페이지). 이후 FDA는 2011년 L&amp;E 최종 규칙에서 이러한 문제를 다루었으며, 특히 (1) 임계 파장 시험 충족 여부에 따라 선택적 광범위 스펙트럼 라벨링을 설정했고, (2) SPF가 15 이상인 광범위 스펙트럼 제품에 대한 피부암 및 조기 피부 노화 위험과 관련된 선택적 표시를 만들었으며, (3) 광범위 스펙트럼 시험을 충족하지 못하고 최소 15 이상의 SPF를 제공하지 않는 자외선차단제에 대한 라벨링 경고를 요구했다(연방관보 76권 35620, 35626~35628 페이지). L&amp;E 최종 규칙 고시와 동시에 FDA는 자외선차단제 모노그래프 활성성분이 함유된 자외선차단제에 대한 최대 라벨링 SPF 값을 SPF 50+로 인상하는 규칙안을 발행했다(연방관보 76권 35672 페이지, 2011년 6월 17일).</w:t>
      </w:r>
    </w:p>
    <w:p w14:paraId="227DD8BC"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2C44773B" w14:textId="1BFA1597" w:rsidR="00030079" w:rsidRPr="002C7F14" w:rsidRDefault="0030232A" w:rsidP="0030232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2020년 3월 CARES법이 통과되었다. CARES법에 의해 제정된 자외선차단제에 대한 최종간주명령은 최대 SPF 값에 대한 제한을 포함하지 않는다.</w:t>
      </w:r>
      <w:r w:rsidRPr="002C7F14">
        <w:rPr>
          <w:rStyle w:val="a7"/>
          <w:rFonts w:asciiTheme="minorEastAsia" w:eastAsiaTheme="minorEastAsia" w:hAnsiTheme="minorEastAsia"/>
          <w:sz w:val="20"/>
          <w:szCs w:val="20"/>
          <w:lang w:eastAsia="ko-KR"/>
        </w:rPr>
        <w:footnoteReference w:id="59"/>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FDA의 2011년 간행물 이후,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UVA 방사선(특히 UVA I 방사선) 및 피부암 발병에서 수행하는 역할에 대해 출판된 문헌 증거가 증가했다. UVA 노출의 유해성에 대한 이 새로운 데이터는 특히 현재 사용 가능한 자외선차단제를 사용하면 소비자가 (1) FDA의 현행 임계 파장 기반 광범위 스펙트럼 시험을 통과하지 못하거나 (2) UVA 차단의 균일성이 부족한 SPF가 높은 자외선차단제를 사용하여 무의식적으로 과도하게 많은 UVA 조사량을 축적할 수 있다는 점을 감안할 때 상당히 우려되는 사항이다. 이러한 우려사항 때문에 무엇보다 SPF 값 증가에 따라 UVA 차단 규모도 커지는 방식으로 결합하도록 설계된 여러 가지 제안을 하고 있다.</w:t>
      </w:r>
    </w:p>
    <w:p w14:paraId="3CE178E2" w14:textId="30E7508B"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p>
    <w:p w14:paraId="0D82934E" w14:textId="77777777" w:rsidR="0030232A" w:rsidRPr="002C7F14" w:rsidRDefault="0030232A" w:rsidP="008E4E2D">
      <w:pPr>
        <w:pStyle w:val="a8"/>
        <w:numPr>
          <w:ilvl w:val="0"/>
          <w:numId w:val="23"/>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배경</w:t>
      </w:r>
    </w:p>
    <w:p w14:paraId="6559DBD2"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UV 방사선에는 UVA 및 UVB 광선이 둘 다 포함된다. UVB 광선(즉, 파장이 290~320 nm인 광선)은 에너지가 높고 일광화상을 유발하는 데 훨씬 더 효과적이며 더 많은 양의 세포 손상(피부암과 관련된 유전자 돌연변이를 유발할 수 있는 DNA 손상 포함)을 유발한다 (Mouret외 공저 2006년; McKinlay 및 Diffey 1987년). UVA 광선(즉, 파장이 320~400 nm인 광선)은 에너지가 낮고 일광화상을 유발하는 데 덜 효과적이지만, UVA 방사선의 대부분을 구성하며 피부 깊숙이 침투하여 잠재적으로 피부 색소 세포에 (ROS 형성을 통한) 산화 손상을 유발할 수 있다(Noonan외 공저 2012년). UVA 광선은 광노화에도 기여한다(Mouret외 공저 2006년; Ridley외 공저 2009년). 현재 과학 문헌에서는 UV에 의한 특이적 DNA 병변이 주로 UVB 파장에서 기인한다고 보고 있지만, UVA 파장도 DNA 병변을 생성할 수 있다. UVA 파장은 UVB 파장보다 훨씬 낮은 정도로 DNA 병변을 생성하지만, UVA 광선에 의해 생성된 DNA 병변은 복구 속도가 더 느린 것으로 보고되었다(Mouret외 공저 2006년). UVA 광선은 UVA I 광선(340~400 nm)과 UVA II 광선(320~340 nm)으로 구성된다. 아래에 논의된 바와 같이, 최근까지 UVA I 광선은 일반적으로 UV 노출과 관련된 유해성에 크게 기여하지 않은 것으로 간주되었다.</w:t>
      </w:r>
    </w:p>
    <w:p w14:paraId="4352E1E1"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31B40EB4"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자외선차단제는</w:t>
      </w:r>
      <w:r w:rsidRPr="002C7F14">
        <w:rPr>
          <w:rFonts w:asciiTheme="minorEastAsia" w:eastAsiaTheme="minorEastAsia" w:hAnsiTheme="minorEastAsia" w:cs="맑은 고딕" w:hint="eastAsia"/>
          <w:sz w:val="20"/>
          <w:szCs w:val="20"/>
          <w:lang w:eastAsia="ko-KR"/>
        </w:rPr>
        <w:t xml:space="preserve"> § M020.80의 최종간주명령에 명시된 표준화된 SPF 시험 절차를 사용하여 계산된 SPF</w:t>
      </w:r>
      <w:r w:rsidRPr="002C7F14">
        <w:rPr>
          <w:rFonts w:asciiTheme="minorEastAsia" w:eastAsiaTheme="minorEastAsia" w:hAnsiTheme="minorEastAsia" w:hint="eastAsia"/>
          <w:sz w:val="20"/>
          <w:szCs w:val="20"/>
          <w:lang w:eastAsia="ko-KR"/>
        </w:rPr>
        <w:t xml:space="preserve"> 값으로 라벨링해야 한다. SPF 시험은 자외선차단제를 사용할 때 일광화상이 유발되는 데 걸리는 UV 방사선 노출량과 자외선차단제를 사용하지 않을 때 일광화상이 유발되는 데 걸리는 UV 노출량을 비교하여 측정한다. (특정 지점까지) SPF 값이 증가하는 자외선차단제는 일광화상 보호 효과가 더 큰 것으로 입증되었다. SPF 값은 자외선차단제의 일광화상 보호 수준을 나타내므로, (전적으로는 아니지만) 주로 예상되는 UVB 방사선 차단을 나타내는 지표이다. 그러나 FDA의 현행 광범위 스펙트럼 라벨링 시험 (최종간주명령의 § M020.90)을 통과하려면 자외선차단제가 UVB 차단 외에도 일부 UVA 차단 기능을 제공한다는 것을 입증해야 한다.</w:t>
      </w:r>
    </w:p>
    <w:p w14:paraId="63A4D406"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5C144853"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3509A130" w14:textId="508010E0" w:rsidR="00030079" w:rsidRPr="002C7F14" w:rsidRDefault="0030232A" w:rsidP="0030232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최소 SPF 값이 15이고 광범위 스펙트럼 시험을 통과한 것으로 판단된 제품만 다른 햇빛 차단 조치와 함께 지시된 대로 사용할 경우 햇빛으로 인한 피부암 및 조기 피부 노화 위험을 감소시킨다는 문구를 라벨에 포함시킬 수 있다(최종간주명령의 § M020.50(c)(2)). 반면, 광범위 스펙트럼 차단과 최소 15의 SPF 값을 모두 제공하는 것으로 판단되지 않는 자외선차단제는 "햇빛에 노출되는 시간이 길수록 피부암 및 조기 피부 노화 위험이 증가합니다" 및 "이 제품은 피부암 또는 조기 피부 노화가 아닌 일광화상을 예방하는 데만 도움이 되는 것으로 입증되었습니다"라는 소비자를 위한 피부암/피부 노화 경고를 포함해야 한다(최종간주명령의 § M020.50(d)(2)).</w:t>
      </w:r>
    </w:p>
    <w:p w14:paraId="4B2B94EE" w14:textId="0ACF5880"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p>
    <w:p w14:paraId="4F82ED62" w14:textId="77777777" w:rsidR="0030232A" w:rsidRPr="002C7F14" w:rsidRDefault="0030232A" w:rsidP="00EF791F">
      <w:pPr>
        <w:spacing w:line="264" w:lineRule="auto"/>
        <w:jc w:val="both"/>
        <w:rPr>
          <w:rFonts w:asciiTheme="minorEastAsia" w:eastAsiaTheme="minorEastAsia" w:hAnsiTheme="minorEastAsia" w:cs="맑은 고딕"/>
          <w:sz w:val="20"/>
          <w:szCs w:val="20"/>
          <w:lang w:eastAsia="ko-KR"/>
        </w:rPr>
      </w:pPr>
    </w:p>
    <w:p w14:paraId="54ABDBA5" w14:textId="77777777" w:rsidR="0030232A" w:rsidRPr="002C7F14" w:rsidRDefault="0030232A" w:rsidP="008E4E2D">
      <w:pPr>
        <w:pStyle w:val="a8"/>
        <w:numPr>
          <w:ilvl w:val="0"/>
          <w:numId w:val="23"/>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UVA 방사선 노출과 관련된 유해성 관련 증거 증가</w:t>
      </w:r>
    </w:p>
    <w:p w14:paraId="60163776"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2011년 L&amp;E 최종 규칙 및 2011년 Max SPF PR이 고시된 이후, UVA 노출과 피부암 및 기타 유해성을 연결하는 과학적 증거의 강도가 높아졌다. 이러한 증거는 UVA 파장이 UV 노출 후 몇 시간이 지나도 DNA 병변을 계속해서 생성하고(Premi외 공저 2015년), 이러한 DNA 병변이 복구되지 않은 채 방치되면 흑색종과 비흑색종 피부암에서 모두 검출된 많은 유전자에서 UV 유발 돌연변이를 형성할 수 있음을 시사한다(Brash 2016년; Hodis외 공저 2012년; Krauthammer외 공저 2012년; Ziegler외 공저 1994년). 또한 피부 깊이에 따라 약해지는 UVB 유발 DNA 병변과 달리, 최근 증거에 따르면 UVA I 노출로 인한 DNA 병변은 표피 기저층(멜라닌 세포와 증식하는 각질 세포가 있는 층)에서 DNA 병변이 증가하고 기저층에서 DNA 병변 복구 효율이 떨어지는 반대 패턴을 보이는 것으로 나타났다(Tewari외 공저 2013년; Tewari외 공저 2012년). </w:t>
      </w:r>
    </w:p>
    <w:p w14:paraId="4F5A80A2"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7D0A42B9" w14:textId="5E05ADBA" w:rsidR="0030232A" w:rsidRPr="002C7F14" w:rsidRDefault="0030232A" w:rsidP="0030232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기저층의 세포 손상(복구되지 않거나 비효율적으로 복구된 경우)은 정상 세포가 암세포로 변형될 가능성을 높이는 중요한 유전자의 돌연변이로 이어질 수 있다. 비효율적인 DNA 복구는 UA 방사선에 노출된 모든 사람에게 우려되는 문제이지만, 이 우려는 UV 방사선에 극도로 민감하고 비흑색종 피부암 및 흑색종이 모두 높은 빈도로 매우 일찍 발병하는 색소성 건피증(DNA 복구 시스템 장애로 인해 발생하는 질병)이 있는 사람들에게 특히 심각하다(DiGiovanna 및 Kraemer 2012년). UVA 노출과 관련된 피부암 관련 위험 외에도 UVA I 방사선이 면역 억제를 유발한다는 증거가 증가하고 있다(Damian외 공저 2011년; Marionnet외 공저 2014년). 이 역시 모든 사람에게 일반적인 우려사항이지만, 특정 위험 집단(예: 장기 이식 수혜자 및 면역억제제 복용자)에게 특히 위험하다.</w:t>
      </w:r>
    </w:p>
    <w:p w14:paraId="01791CA8" w14:textId="1E4CFDC0" w:rsidR="0030232A" w:rsidRPr="002C7F14" w:rsidRDefault="0030232A" w:rsidP="00EF791F">
      <w:pPr>
        <w:spacing w:line="264" w:lineRule="auto"/>
        <w:jc w:val="both"/>
        <w:rPr>
          <w:rFonts w:asciiTheme="minorEastAsia" w:eastAsiaTheme="minorEastAsia" w:hAnsiTheme="minorEastAsia" w:cs="맑은 고딕"/>
          <w:sz w:val="20"/>
          <w:szCs w:val="20"/>
          <w:lang w:eastAsia="ko-KR"/>
        </w:rPr>
      </w:pPr>
    </w:p>
    <w:p w14:paraId="326C9650" w14:textId="77777777"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0A4A5D70" w14:textId="7665975C" w:rsidR="0030232A" w:rsidRPr="002C7F14" w:rsidRDefault="0030232A" w:rsidP="0030232A">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위에 설명된 증거를 고려하여, FDA는 시판된 자외선차단제에서 UVA 차단이 불충분할 가능성에 대해 우려한다. 이는 FDA의 현행 임계 파장 기반 광범위 스펙트럼 시험을 통과하지 못하거나 (현행 광범위 스펙트럼은 통과하지만) UVA 차단의 균일성이 불충분한 고SPF 자외선차단제와 관련하여 특히 우려되는 사항이다. 이러한 제품을 사용하는 소비자는 일광화상을 성공적으로 예방하지만 과도한 양의 UVA 방사선을 축적하여 피부암 및 조기 피부 노화와 관련된 추가 위험에 노출될 수 있다. 국제암연구소는 고SPF 자외선차단제가 의도적으로 더 긴 UV 노출과 관련이 있다는 사실을 발견했으며(Autier외 공저 2007년), 이러한 제품 사용은 상당량의 UVA 방사선 노출을 초래할 수 있다는 우려를 제기한다. 2011년 Max SPF PR에 대해 접수된 여러 의견에서 불충분한 UVA 차단과 관련된 우려가 제기되었으며, 이러한 의견은 고SPF 제품의 불충분한 UVA 차단에 대한 특정 우려사항을 제기했다. 또한 이러한 우려는 시간이 지남에 따라 출판된 문헌에서도 더욱 커졌다(Diffey 2012년; Diffey 2009년; Wang외 공저 2008년; Diffey 2001년).</w:t>
      </w:r>
    </w:p>
    <w:p w14:paraId="61EF4CBB"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0AAF6261" w14:textId="345F80DE" w:rsidR="0030232A" w:rsidRPr="002C7F14" w:rsidRDefault="0030232A" w:rsidP="0030232A">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이러한 모든 이유로, SPF 값 증가에 따라 UVA 차단 규모도 커지는 방식으로 결합하도록 설계된 여러 단계를 제안하고 있다. 아래에 더 자세히 논의된 바와 같이, SPF 값의 변동성 증거와 SPF 60 자외선차단제와 관련된 추가적인 임상적 이점을 보여주는 증거를 다루도록 설계된 제안을 하고 있다.</w:t>
      </w:r>
    </w:p>
    <w:p w14:paraId="4C360A5E" w14:textId="5038A804"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p>
    <w:p w14:paraId="28928290" w14:textId="33B9BFAD" w:rsidR="00030079" w:rsidRPr="002C7F14" w:rsidRDefault="0030232A" w:rsidP="008E4E2D">
      <w:pPr>
        <w:pStyle w:val="a8"/>
        <w:numPr>
          <w:ilvl w:val="0"/>
          <w:numId w:val="23"/>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광범위 스펙트럼 제안</w:t>
      </w:r>
    </w:p>
    <w:p w14:paraId="2CA0DF03" w14:textId="52F1897F" w:rsidR="0030232A" w:rsidRPr="002C7F14" w:rsidRDefault="0030232A" w:rsidP="008E4E2D">
      <w:pPr>
        <w:pStyle w:val="30"/>
        <w:keepNext w:val="0"/>
        <w:numPr>
          <w:ilvl w:val="0"/>
          <w:numId w:val="24"/>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광범위 스펙트럼 시험을 통과하는 데 필요한 UVA I/UV 비율</w:t>
      </w:r>
    </w:p>
    <w:p w14:paraId="329839E7" w14:textId="10F5ABAF" w:rsidR="0030232A" w:rsidRPr="002C7F14" w:rsidRDefault="0030232A" w:rsidP="002C531C">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광범위 스펙트럼 시험을 통과하기 위한 요구사항에 대한 특정 변경사항을 제안하고 있다. 구체적으로, 제품이 0.7 이상의 UVA I/UV 비율을 충족해야 한다는 요구사항을 현행 광범위 스펙트럼 시험에 추가할 것을 제안하고 있다. 현행 광범위 스펙트럼 시험 절차는 변경되지 않았으며</w:t>
      </w:r>
      <w:r w:rsidR="002C531C" w:rsidRPr="002C7F14">
        <w:rPr>
          <w:rStyle w:val="a7"/>
          <w:rFonts w:asciiTheme="minorEastAsia" w:eastAsiaTheme="minorEastAsia" w:hAnsiTheme="minorEastAsia"/>
          <w:sz w:val="20"/>
          <w:szCs w:val="20"/>
          <w:lang w:eastAsia="ko-KR"/>
        </w:rPr>
        <w:footnoteReference w:id="60"/>
      </w:r>
      <w:r w:rsidRPr="002C7F14">
        <w:rPr>
          <w:rFonts w:asciiTheme="minorEastAsia" w:eastAsiaTheme="minorEastAsia" w:hAnsiTheme="minorEastAsia" w:hint="eastAsia"/>
          <w:sz w:val="20"/>
          <w:szCs w:val="20"/>
          <w:vertAlign w:val="superscript"/>
          <w:lang w:eastAsia="ko-KR"/>
        </w:rPr>
        <w:t xml:space="preserve"> </w:t>
      </w:r>
      <w:r w:rsidRPr="002C7F14">
        <w:rPr>
          <w:rFonts w:asciiTheme="minorEastAsia" w:eastAsiaTheme="minorEastAsia" w:hAnsiTheme="minorEastAsia" w:hint="eastAsia"/>
          <w:sz w:val="20"/>
          <w:szCs w:val="20"/>
          <w:lang w:eastAsia="ko-KR"/>
        </w:rPr>
        <w:t xml:space="preserve">이 새로운 비율은 기존 시험 데이터를 사용하여 계산한다. </w:t>
      </w:r>
    </w:p>
    <w:p w14:paraId="14F220A9"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3AB3E97E" w14:textId="77777777" w:rsidR="0030232A" w:rsidRPr="002C7F14" w:rsidRDefault="0030232A" w:rsidP="002C531C">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현재 광범위 스펙트럼으로 라벨링된 자외선차단제가 370 nm 이상의 임계 파장을 달성하도록 요구한다(최종간주명령의 § M020.90). 자외선차단제의 UV 차단은 종종 UV 스펙트럼의 각 파장(예: 290~400 nm)에서 제품이 제공하는 UV 흡수량을 나타내는 그래프 곡선으로 표시된다. 제품의 "임계 파장"은 곡선 아래 면적의 90%에 해당하는 파장이다. 따라서 임계 파장이 높을 수록 290~400 nm 스펙트럼 전반에 걸쳐 더 넓은 UV 차단 효과를 나타낸다.</w:t>
      </w:r>
    </w:p>
    <w:p w14:paraId="2311535A" w14:textId="77777777" w:rsidR="0030232A" w:rsidRPr="002C7F14" w:rsidRDefault="0030232A" w:rsidP="0030232A">
      <w:pPr>
        <w:spacing w:line="264" w:lineRule="auto"/>
        <w:jc w:val="both"/>
        <w:rPr>
          <w:rFonts w:asciiTheme="minorEastAsia" w:eastAsiaTheme="minorEastAsia" w:hAnsiTheme="minorEastAsia" w:cs="맑은 고딕"/>
          <w:sz w:val="20"/>
          <w:szCs w:val="20"/>
          <w:lang w:eastAsia="ko-KR"/>
        </w:rPr>
      </w:pPr>
    </w:p>
    <w:p w14:paraId="66C1284F" w14:textId="77777777" w:rsidR="002C531C" w:rsidRPr="002C7F14" w:rsidRDefault="002C531C" w:rsidP="002C531C">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10D5BE73" w14:textId="21E8458E" w:rsidR="0030232A" w:rsidRPr="002C7F14" w:rsidRDefault="0030232A" w:rsidP="002C531C">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대부분의 자외선차단제는 370 nm 이상의 임계 파장을 달성하여 광범위 스펙트럼 라벨링에 대한 현행 기준을 충족하더라도 역사적으로 UVB 및 UVA II 범위를 우선적으로 차단해왔다. UV 스펙트럼 중 얼마나 많은 UVA 부분이 UVA I 방사선으로 구성되어 있는지(아래의 그림 3 참조)와 UVA 노출 및 특히 UVA I 노출과 관련된 위험에 대해 현재 알고 있는 것을 감안할 때, 자외선차단제가 스펙트럼의 UVA I 부분에서 적절한 차단을 제공하도록 보장하는 것이 중요하다.</w:t>
      </w:r>
    </w:p>
    <w:p w14:paraId="2BDC438E" w14:textId="77777777" w:rsidR="0030232A" w:rsidRPr="002C7F14" w:rsidRDefault="0030232A" w:rsidP="00EF791F">
      <w:pPr>
        <w:spacing w:line="264" w:lineRule="auto"/>
        <w:jc w:val="both"/>
        <w:rPr>
          <w:rFonts w:asciiTheme="minorEastAsia" w:eastAsiaTheme="minorEastAsia" w:hAnsiTheme="minorEastAsia" w:cs="맑은 고딕"/>
          <w:sz w:val="20"/>
          <w:szCs w:val="20"/>
          <w:lang w:eastAsia="ko-KR"/>
        </w:rPr>
      </w:pPr>
    </w:p>
    <w:p w14:paraId="1280D928" w14:textId="652FDC1E" w:rsidR="00030079" w:rsidRPr="002C7F14" w:rsidRDefault="00030079" w:rsidP="00EF791F">
      <w:pPr>
        <w:spacing w:line="264" w:lineRule="auto"/>
        <w:jc w:val="both"/>
        <w:rPr>
          <w:rFonts w:asciiTheme="minorEastAsia" w:eastAsiaTheme="minorEastAsia" w:hAnsiTheme="minorEastAsia" w:cs="맑은 고딕"/>
          <w:sz w:val="20"/>
          <w:szCs w:val="20"/>
          <w:lang w:eastAsia="ko-KR"/>
        </w:rPr>
      </w:pPr>
    </w:p>
    <w:p w14:paraId="781C68B3" w14:textId="1B0637F5" w:rsidR="008E7222" w:rsidRPr="002C7F14" w:rsidRDefault="002C531C" w:rsidP="002C531C">
      <w:pPr>
        <w:pStyle w:val="a9"/>
        <w:spacing w:line="264" w:lineRule="auto"/>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그림 </w:t>
      </w:r>
      <w:proofErr w:type="gramStart"/>
      <w:r w:rsidRPr="002C7F14">
        <w:rPr>
          <w:rFonts w:asciiTheme="minorEastAsia" w:eastAsiaTheme="minorEastAsia" w:hAnsiTheme="minorEastAsia" w:hint="eastAsia"/>
          <w:sz w:val="20"/>
          <w:szCs w:val="20"/>
          <w:lang w:eastAsia="ko-KR"/>
        </w:rPr>
        <w:t>3.-</w:t>
      </w:r>
      <w:r w:rsidRPr="002C7F14">
        <w:rPr>
          <w:rFonts w:asciiTheme="minorEastAsia" w:eastAsiaTheme="minorEastAsia" w:hAnsiTheme="minorEastAsia"/>
          <w:sz w:val="20"/>
          <w:szCs w:val="20"/>
          <w:lang w:eastAsia="ko-KR"/>
        </w:rPr>
        <w:t>-</w:t>
      </w:r>
      <w:proofErr w:type="gramEnd"/>
      <w:r w:rsidRPr="002C7F14">
        <w:rPr>
          <w:rFonts w:asciiTheme="minorEastAsia" w:eastAsiaTheme="minorEastAsia" w:hAnsiTheme="minorEastAsia" w:hint="eastAsia"/>
          <w:sz w:val="20"/>
          <w:szCs w:val="20"/>
          <w:lang w:eastAsia="ko-KR"/>
        </w:rPr>
        <w:t>두 가지 SPF 15 제품 비교</w:t>
      </w:r>
      <w:r w:rsidRPr="002C7F14">
        <w:rPr>
          <w:rFonts w:asciiTheme="minorEastAsia" w:eastAsiaTheme="minorEastAsia" w:hAnsiTheme="minorEastAsia" w:hint="eastAsia"/>
          <w:sz w:val="20"/>
          <w:szCs w:val="20"/>
          <w:vertAlign w:val="superscript"/>
          <w:lang w:eastAsia="ko-KR"/>
        </w:rPr>
        <w:t>1</w:t>
      </w:r>
    </w:p>
    <w:p w14:paraId="1B21D18E" w14:textId="11F4545A" w:rsidR="00030079" w:rsidRPr="002C7F14" w:rsidRDefault="002C531C" w:rsidP="00886739">
      <w:pPr>
        <w:spacing w:afterLines="100" w:after="240"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noProof/>
          <w:sz w:val="20"/>
          <w:szCs w:val="20"/>
          <w:lang w:eastAsia="ko-KR"/>
        </w:rPr>
        <w:drawing>
          <wp:inline distT="0" distB="0" distL="0" distR="0" wp14:anchorId="6554AFE6" wp14:editId="7CECF506">
            <wp:extent cx="5691807" cy="381314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691807" cy="3813143"/>
                    </a:xfrm>
                    <a:prstGeom prst="rect">
                      <a:avLst/>
                    </a:prstGeom>
                  </pic:spPr>
                </pic:pic>
              </a:graphicData>
            </a:graphic>
          </wp:inline>
        </w:drawing>
      </w:r>
    </w:p>
    <w:p w14:paraId="3777A8FC" w14:textId="4F14B9E8" w:rsidR="00030079" w:rsidRPr="002C7F14" w:rsidRDefault="002C531C" w:rsidP="002C531C">
      <w:pPr>
        <w:pStyle w:val="a9"/>
        <w:spacing w:line="264" w:lineRule="auto"/>
        <w:jc w:val="both"/>
        <w:rPr>
          <w:rFonts w:asciiTheme="minorEastAsia" w:eastAsiaTheme="minorEastAsia" w:hAnsiTheme="minorEastAsia"/>
          <w:sz w:val="16"/>
          <w:szCs w:val="20"/>
          <w:lang w:eastAsia="ko-KR"/>
        </w:rPr>
      </w:pPr>
      <w:r w:rsidRPr="002C7F14">
        <w:rPr>
          <w:rFonts w:asciiTheme="minorEastAsia" w:eastAsiaTheme="minorEastAsia" w:hAnsiTheme="minorEastAsia" w:hint="eastAsia"/>
          <w:sz w:val="16"/>
          <w:szCs w:val="20"/>
          <w:vertAlign w:val="superscript"/>
          <w:lang w:eastAsia="ko-KR"/>
        </w:rPr>
        <w:t>1</w:t>
      </w:r>
      <w:r w:rsidRPr="002C7F14">
        <w:rPr>
          <w:rFonts w:asciiTheme="minorEastAsia" w:eastAsiaTheme="minorEastAsia" w:hAnsiTheme="minorEastAsia" w:hint="eastAsia"/>
          <w:sz w:val="16"/>
          <w:szCs w:val="20"/>
          <w:lang w:eastAsia="ko-KR"/>
        </w:rPr>
        <w:t xml:space="preserve"> 제품 1은 370 nm 이상의 임계 파장을 달성해야 하는 현행 광범위 스펙트럼 요구사항을 충족하며, 제품 2는 제안된 광범위 스펙트럼 요구사항의 두 가지 구성요소를 모두 충족한다(임계 파장 370 nm 이상 및 UVA I/UV 비율 0.7 이상을 둘 다 달성한다).</w:t>
      </w:r>
    </w:p>
    <w:p w14:paraId="1699576E" w14:textId="13BBCA5D" w:rsidR="00EC4BD5" w:rsidRPr="002C7F14" w:rsidRDefault="00EC4BD5" w:rsidP="00EF791F">
      <w:pPr>
        <w:spacing w:line="264" w:lineRule="auto"/>
        <w:jc w:val="both"/>
        <w:rPr>
          <w:rFonts w:asciiTheme="minorEastAsia" w:eastAsiaTheme="minorEastAsia" w:hAnsiTheme="minorEastAsia" w:cs="맑은 고딕"/>
          <w:sz w:val="20"/>
          <w:szCs w:val="20"/>
          <w:lang w:eastAsia="ko-KR"/>
        </w:rPr>
      </w:pPr>
    </w:p>
    <w:p w14:paraId="3D67DA45" w14:textId="77777777" w:rsidR="002C531C" w:rsidRPr="002C7F14" w:rsidRDefault="002C531C" w:rsidP="002C531C">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따라서 광범위 스펙트럼 시험을 통과하기 위해 제품이 0.7 이상의 UVA I/UV 비율을 제공함을 입증하도록 요구할 것을 제안하고 있으며, 이는 제품이 370 nm 임계 파장 요구사항을 충족하는 것 외에도 총 UV 방사선(즉, UVB + UVA) 흡광도 대비 UVA I 방사선 흡광도의 최소 측정치를 제공해야 한다는 의미이다. 광범위 스펙트럼 제품에 대해 0.7 이상의 UVA I/UV 비율을 요구한다는 것은 이러한 제품이 UVA I, UVA II 및 UVAB 범위에서 더 균일한 양의 방사선 차단을 제공한다는 것을 의미한다.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UV 스펙트럼 전반에 걸친 이러한 향상된 충실도는 위에서 논의한 바와 같이 더 긴 의도적인 햇빛 노출과 관련이 있어 상당한 UVA 방사선량으로 이어질 수 있는 고SPF 제품에서 특히 중요하다. 또한 제안된 UVA I/UV 비율은 (소비자에게는 알려지지 않은 채) SPF 값이 더 높은 광범위 스펙트럼으로 라벨링된 제품이 (제품에 사용된 활성성분의 특정 조합 및 이러한 활성성분이 UV 스펙트럼의 어떤 부분을 흡수하는지에 따라) SPF 값이 더 낮은 광범위 스펙트럼으로 라벨링된 제품보다 약한 광범위 스펙트럼 차단을 제공할 수 있는 현재의 가능성을 제거하는 데 도움이 될 것이다. 예를 들어, 현재 시험 방식에서 "광범위 스펙트럼 SPF 30"으로 라벨링된 자외선차단제는 "광범위 스펙트럼 SPF 15"로 라벨링된 자외선차단제보다 UVA 차단 효과가 낮을 수 있다.</w:t>
      </w:r>
    </w:p>
    <w:p w14:paraId="542D6B4C" w14:textId="77777777" w:rsidR="002C531C" w:rsidRPr="002C7F14" w:rsidRDefault="002C531C" w:rsidP="002C531C">
      <w:pPr>
        <w:spacing w:line="264" w:lineRule="auto"/>
        <w:jc w:val="both"/>
        <w:rPr>
          <w:rFonts w:asciiTheme="minorEastAsia" w:eastAsiaTheme="minorEastAsia" w:hAnsiTheme="minorEastAsia" w:cs="맑은 고딕"/>
          <w:sz w:val="20"/>
          <w:szCs w:val="20"/>
          <w:lang w:eastAsia="ko-KR"/>
        </w:rPr>
      </w:pPr>
    </w:p>
    <w:p w14:paraId="6D7A2177" w14:textId="77777777" w:rsidR="002C531C" w:rsidRPr="002C7F14" w:rsidRDefault="002C531C" w:rsidP="002C531C">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2007년에 자외선차단제의 UVA 차단 적절성과 관련하여 처음으로 우려를 제기했다(연방관보 72권 49070, 49104~49107 페이지 참조). 그 당시 FDA는 특히 UVA 방사선에 대한 시험관 내 시험(분광광도법) 및 체내 (임상) 시험뿐만 아니라 4단계 UVA 별점 라벨링 시스템에 포함된 광범위 스펙트럼 차단을 다루기 위한 상이하고 더 복잡한 시험 및 라벨링 제안의 일부로 오늘날 제안하고 있는 것과 유사한 비율을 제안했다. 제안이 지나치게 복잡하다는 일반적인 의견, 제안된 시험관 내 시험 방법에 대한 구체적인 의견 및 “제안된 비율이 일반적으로 UV 방사선 노출의 유해한 영향에 크게 기여한다고 간주되지 않는 UVA I 영역에 지나치게 중점을 두고 있다”는 의견을 비롯하여 이 제안에 대해 주장된 단점을 설명한 의견에 대응하여, 2011년 L&amp;E 최종 규칙에서 2007년 제안에 대한 여러 변경사항을 적용했다.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 xml:space="preserve">이러한 변경사항에는 UVA I/UV 비율의 제거 및 그 대신 광범위 스펙트럼 차단을 확립하기 위한 위에서 설명한 임계 파장 시험의 채택이 포함되었다. L&amp;E 최종 규칙의 서문에서 언급한 바와 같이, 당시 UVA I/UV 비율을 요구하지 않기로 한 결정은 부분적으로 당시의 이용 가능한 과학적 증거에 따르면 UVA I 노출이 이 비율에 중점을 두는 것을 정당화할 만큼 충분한 해를 끼칠 위험이 없으며, 임계 파장 시험이 광범위 스펙트럼 차단에 대한 우수한 척도를 제공한다는 의견에 동의했기 때문이다(동일 출처, 35650 페이지). </w:t>
      </w:r>
    </w:p>
    <w:p w14:paraId="0162D0CA" w14:textId="77777777" w:rsidR="002C531C" w:rsidRPr="002C7F14" w:rsidRDefault="002C531C" w:rsidP="002C531C">
      <w:pPr>
        <w:spacing w:line="264" w:lineRule="auto"/>
        <w:jc w:val="both"/>
        <w:rPr>
          <w:rFonts w:asciiTheme="minorEastAsia" w:eastAsiaTheme="minorEastAsia" w:hAnsiTheme="minorEastAsia" w:cs="맑은 고딕"/>
          <w:sz w:val="20"/>
          <w:szCs w:val="20"/>
          <w:lang w:eastAsia="ko-KR"/>
        </w:rPr>
      </w:pPr>
    </w:p>
    <w:p w14:paraId="303627EC" w14:textId="77777777" w:rsidR="002C531C" w:rsidRPr="002C7F14" w:rsidRDefault="002C531C" w:rsidP="002C531C">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따라서, 우리는 UVA I이 자외선 노출의 해로운 영향에 크게 기여하지 않는다는 이전의 의견이나, UVA I/UV 비율 요구 사항이 자외선 스펙트럼의 이 부분에 지나치게 중점을 둘 것이라는 2011년의 결론에 더 이상 동의하지 않습니다. UVA I 노출은 위에서 설명한 면역 억제를 유발하는 것 외에도 (피부 깊이가 증가함에 따라 감소하는 UVB 유발 DNA 손상과 대조적으로) 피부 깊이가 증가함에 따라 DNA 손상이 증가한다는 것이 이제 분명해졌다. 이외에도 UVA I가 UVA 방사선의 주요 부분임을 감안할 때, UVA 방사선 및 피부암 발병 간 연관성을 강화하는 새로운 증거(섹션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E.ii.2에서 논의됨)는 UV 스펙트럼의 UVA I 부분에서 차단이 불충분할 가능성에 대한 우려를 제기한다. 따라서 UVA I가 UV 방사선 노출의 유해한 영향에 크게 기여하지 않는다는 이전 의견 또는 UVA I/UV 비율 요구사항이 UV 스펙트럼의 이 부분에 지나치게 중점을 두고 있다는 2011년 결론에 더 이상 동의하지 않는다.</w:t>
      </w:r>
    </w:p>
    <w:p w14:paraId="28A656D0" w14:textId="77777777" w:rsidR="002C531C" w:rsidRPr="002C7F14" w:rsidRDefault="002C531C" w:rsidP="002C531C">
      <w:pPr>
        <w:spacing w:line="264" w:lineRule="auto"/>
        <w:jc w:val="both"/>
        <w:rPr>
          <w:rFonts w:asciiTheme="minorEastAsia" w:eastAsiaTheme="minorEastAsia" w:hAnsiTheme="minorEastAsia" w:cs="맑은 고딕"/>
          <w:sz w:val="20"/>
          <w:szCs w:val="20"/>
          <w:lang w:eastAsia="ko-KR"/>
        </w:rPr>
      </w:pPr>
    </w:p>
    <w:p w14:paraId="31BDBCD0" w14:textId="77777777" w:rsidR="002C531C" w:rsidRPr="002C7F14" w:rsidRDefault="002C531C" w:rsidP="002C531C">
      <w:pPr>
        <w:spacing w:line="264" w:lineRule="auto"/>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br w:type="page"/>
      </w:r>
    </w:p>
    <w:p w14:paraId="264F1C7E" w14:textId="166B6992" w:rsidR="00EC4BD5" w:rsidRPr="002C7F14" w:rsidRDefault="002C531C" w:rsidP="002C531C">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기존의 임계 파장 시험을 대체할 것을 제안하지 않으며, 제안된 비율이 기존의 광범위 스펙트럼 시험을 보완(하고 이 시험 데이터를 사용하여 계산)할 것임을 강조한다. 또한 현재 제안하고 있는 UVA I/UV 비율은 유럽연합의 권장 최소 UVA 차단지수인 라벨링된 SPF의 1/3 및 영국의 부츠 3성 등급(영국은 수십 년 동안 대체 비율 방법에 기초한 단계적 별점 시스템을 사용해 왔음)을 통해 달성되는 수준과 유사한 UVA 차단 수준으로 이어질 것이다(Diffey 2009년; Wang외 공저 2008년). 2009년 미국에서 시판되는 330개 자외선차단제에 대해 수집된 데이터에 따르면, 당시 이러한 제품의 절반 이상이 현재 제안하고 있는 광범위 스펙트럼 시험을 이미 충족한 것으로 나타났다(의견, 문서철 번호 FDA-1978-N-0018-0690 참조).</w:t>
      </w:r>
    </w:p>
    <w:p w14:paraId="643A2C12" w14:textId="26B997BE" w:rsidR="002C531C" w:rsidRPr="002C7F14" w:rsidRDefault="002C531C" w:rsidP="00EF791F">
      <w:pPr>
        <w:spacing w:line="264" w:lineRule="auto"/>
        <w:jc w:val="both"/>
        <w:rPr>
          <w:rFonts w:asciiTheme="minorEastAsia" w:eastAsiaTheme="minorEastAsia" w:hAnsiTheme="minorEastAsia" w:cs="맑은 고딕"/>
          <w:sz w:val="20"/>
          <w:szCs w:val="20"/>
          <w:lang w:eastAsia="ko-KR"/>
        </w:rPr>
      </w:pPr>
    </w:p>
    <w:p w14:paraId="38FF0866" w14:textId="66DC8899" w:rsidR="002C531C" w:rsidRPr="002C7F14" w:rsidRDefault="00B37AB0" w:rsidP="008E4E2D">
      <w:pPr>
        <w:pStyle w:val="30"/>
        <w:keepNext w:val="0"/>
        <w:numPr>
          <w:ilvl w:val="0"/>
          <w:numId w:val="24"/>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≥SPF 15인 모든 제품에 대한 광범위 스펙트럼 요구사항</w:t>
      </w:r>
    </w:p>
    <w:p w14:paraId="2267E710" w14:textId="00D1920C" w:rsidR="002C531C"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SPF 값이 15 이상인 모든 자외선차단제가 FDA의 개정된 광범위 스펙트럼 시험을 충족함으로써 UV 스펙트럼의 UVA I, UVA II 및 UVB 범위 전반에 걸쳐 보다 균일한 차단 기능을 제공함을 입증하도록 요구할 것을 제안하고 있다. 이 제안은 SPF 값 증가를 UVB 차단 증가뿐만 아니라 UVA 차단 규모 증가와도 연계하도록 설계되었다. 일광화상에 대한 강력한 보호 기능을 제공하지만 FDA의 개정된 광범위 스펙트럼 시험을 통과하지 </w:t>
      </w:r>
      <w:r w:rsidRPr="002C7F14">
        <w:rPr>
          <w:rFonts w:asciiTheme="minorEastAsia" w:eastAsiaTheme="minorEastAsia" w:hAnsiTheme="minorEastAsia" w:hint="eastAsia"/>
          <w:i/>
          <w:sz w:val="20"/>
          <w:szCs w:val="20"/>
          <w:lang w:eastAsia="ko-KR"/>
        </w:rPr>
        <w:t>못하고</w:t>
      </w:r>
      <w:r w:rsidRPr="002C7F14">
        <w:rPr>
          <w:rFonts w:asciiTheme="minorEastAsia" w:eastAsiaTheme="minorEastAsia" w:hAnsiTheme="minorEastAsia" w:hint="eastAsia"/>
          <w:sz w:val="20"/>
          <w:szCs w:val="20"/>
          <w:lang w:eastAsia="ko-KR"/>
        </w:rPr>
        <w:t xml:space="preserve"> 이에 따라 불충분한 UVA 차단 기능을 제공하는 자외선차단제를 사용하는 소비자는 햇빛을 피하지 않아 일광화상으로부터 보호되지 않았을 때보다 더 높은 수준의 UVA 방사선에 노출될 수 있다. UVA 노출과 관련된 주요 건강 위험에 대한 증거가 증가함에 따라, 이러한 제품(SPF 값이 </w:t>
      </w:r>
      <w:r w:rsidR="00BE6447" w:rsidRPr="002C7F14">
        <w:rPr>
          <w:rFonts w:asciiTheme="minorEastAsia" w:eastAsiaTheme="minorEastAsia" w:hAnsiTheme="minorEastAsia" w:hint="eastAsia"/>
          <w:sz w:val="20"/>
          <w:szCs w:val="20"/>
          <w:lang w:eastAsia="ko-KR"/>
        </w:rPr>
        <w:t>15</w:t>
      </w:r>
      <w:r w:rsidRPr="002C7F14">
        <w:rPr>
          <w:rFonts w:asciiTheme="minorEastAsia" w:eastAsiaTheme="minorEastAsia" w:hAnsiTheme="minorEastAsia" w:hint="eastAsia"/>
          <w:sz w:val="20"/>
          <w:szCs w:val="20"/>
          <w:lang w:eastAsia="ko-KR"/>
        </w:rPr>
        <w:t>이상이지만 UV 스펙트럼 전반에 걸쳐 충분한 차단 기능(FDA의 개정된 광범위 스펙트럼 요구사항을 충족함으로써 입증됨)을 제공하지 않는 제품)이 GRASE가 아니라고 판단할 것을 제안한다. FD&amp;C법 제505G(b)(1)(C)(i)조 참조. 동시에 피부 발암에 대한 UVA I의 기여를 입증하는 위에서 설명한 증거는 2011년 L&amp;E 최종 규칙에서</w:t>
      </w:r>
      <w:r w:rsidR="00BE6447" w:rsidRPr="002C7F14">
        <w:rPr>
          <w:rFonts w:asciiTheme="minorEastAsia" w:eastAsiaTheme="minorEastAsia" w:hAnsiTheme="minorEastAsia"/>
          <w:sz w:val="20"/>
          <w:szCs w:val="20"/>
          <w:lang w:eastAsia="ko-KR"/>
        </w:rPr>
        <w:t xml:space="preserve"> (</w:t>
      </w:r>
      <w:r w:rsidR="003D6BF5" w:rsidRPr="003D6BF5">
        <w:rPr>
          <w:rFonts w:asciiTheme="minorEastAsia" w:eastAsiaTheme="minorEastAsia" w:hAnsiTheme="minorEastAsia" w:hint="eastAsia"/>
          <w:sz w:val="20"/>
          <w:szCs w:val="20"/>
          <w:lang w:eastAsia="ko-KR"/>
        </w:rPr>
        <w:t>연방관보</w:t>
      </w:r>
      <w:r w:rsidR="003D6BF5" w:rsidRPr="003D6BF5">
        <w:rPr>
          <w:rFonts w:asciiTheme="minorEastAsia" w:eastAsiaTheme="minorEastAsia" w:hAnsiTheme="minorEastAsia"/>
          <w:sz w:val="20"/>
          <w:szCs w:val="20"/>
          <w:lang w:eastAsia="ko-KR"/>
        </w:rPr>
        <w:t xml:space="preserve"> 76</w:t>
      </w:r>
      <w:r w:rsidR="003D6BF5" w:rsidRPr="003D6BF5">
        <w:rPr>
          <w:rFonts w:asciiTheme="minorEastAsia" w:eastAsiaTheme="minorEastAsia" w:hAnsiTheme="minorEastAsia" w:hint="eastAsia"/>
          <w:sz w:val="20"/>
          <w:szCs w:val="20"/>
          <w:lang w:eastAsia="ko-KR"/>
        </w:rPr>
        <w:t>권</w:t>
      </w:r>
      <w:r w:rsidR="003D6BF5" w:rsidRPr="003D6BF5">
        <w:rPr>
          <w:rFonts w:asciiTheme="minorEastAsia" w:eastAsiaTheme="minorEastAsia" w:hAnsiTheme="minorEastAsia"/>
          <w:sz w:val="20"/>
          <w:szCs w:val="20"/>
          <w:lang w:eastAsia="ko-KR"/>
        </w:rPr>
        <w:t xml:space="preserve"> 35620, 35630-35634 </w:t>
      </w:r>
      <w:r w:rsidR="003D6BF5" w:rsidRPr="003D6BF5">
        <w:rPr>
          <w:rFonts w:asciiTheme="minorEastAsia" w:eastAsiaTheme="minorEastAsia" w:hAnsiTheme="minorEastAsia" w:hint="eastAsia"/>
          <w:sz w:val="20"/>
          <w:szCs w:val="20"/>
          <w:lang w:eastAsia="ko-KR"/>
        </w:rPr>
        <w:t>참조</w:t>
      </w:r>
      <w:r w:rsidR="00BE6447"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 xml:space="preserve"> 검토된 증거와 함께 SPF가 15 이상이고 개정된 광범위 스펙트럼 시험을 통과한 자외선차단제를 일광화상을 예방하기 위한 사용과 햇빛에 의해 유발되는 피부암 및 조기 피부 노화 위험을 줄이기 위한 사용 둘 다에 대한 적응증과 함께 자외선차단제 모노그래프에 포함시키는 제안을 뒷받침한다는 결론을 내린다.</w:t>
      </w:r>
      <w:r w:rsidRPr="002C7F14">
        <w:rPr>
          <w:rStyle w:val="a7"/>
          <w:rFonts w:asciiTheme="minorEastAsia" w:eastAsiaTheme="minorEastAsia" w:hAnsiTheme="minorEastAsia"/>
          <w:sz w:val="20"/>
          <w:szCs w:val="20"/>
          <w:lang w:eastAsia="ko-KR"/>
        </w:rPr>
        <w:footnoteReference w:id="61"/>
      </w:r>
      <w:r w:rsidRPr="002C7F14">
        <w:rPr>
          <w:rFonts w:asciiTheme="minorEastAsia" w:eastAsiaTheme="minorEastAsia" w:hAnsiTheme="minorEastAsia"/>
          <w:sz w:val="20"/>
          <w:szCs w:val="20"/>
          <w:lang w:eastAsia="ko-KR"/>
        </w:rPr>
        <w:t xml:space="preserve"> </w:t>
      </w:r>
    </w:p>
    <w:p w14:paraId="441806A0" w14:textId="66672003" w:rsidR="002C531C" w:rsidRPr="002C7F14" w:rsidRDefault="002C531C" w:rsidP="00EF791F">
      <w:pPr>
        <w:spacing w:line="264" w:lineRule="auto"/>
        <w:jc w:val="both"/>
        <w:rPr>
          <w:rFonts w:asciiTheme="minorEastAsia" w:eastAsiaTheme="minorEastAsia" w:hAnsiTheme="minorEastAsia" w:cs="맑은 고딕"/>
          <w:sz w:val="20"/>
          <w:szCs w:val="20"/>
          <w:lang w:eastAsia="ko-KR"/>
        </w:rPr>
      </w:pPr>
    </w:p>
    <w:p w14:paraId="4E258D18" w14:textId="77777777" w:rsidR="00B37AB0" w:rsidRPr="002C7F14" w:rsidRDefault="00B37AB0" w:rsidP="00B37AB0">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br w:type="page"/>
      </w:r>
    </w:p>
    <w:p w14:paraId="22E0B83A" w14:textId="5DD84D97" w:rsidR="00B37AB0" w:rsidRPr="002C7F14" w:rsidRDefault="00B37AB0" w:rsidP="00B37AB0">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L&amp;E 최종 규칙에서 언급한 바와 같이, 특정 파장이 아닌 UV 방사선의 전체 범위가 인체에 발암성이며, 이러한 유해한 영향에 가장 큰 책임이 있는 정확한 파장은 알려져 있지 않다(동일 출처, 35631, 35633 페이지 참조). 피부암 및 조기 피부 노화 위험을 임상적으로 유의미하게 줄이기 위해서는 제품이 전체 UVB 및 UVA 노출을 상당히 제한하는 데 기여해야 하며(동일 출처, 35630, 35631~35632 페이지), 이는 광범위 스펙트럼 시험에 대한 개정된 통과 기준에 의해 제공되는 UVA 스펙트럼 전반에 걸친 향상된 차단 범위를 최소 SPF 15를 요구함으로써 보장되는 차단 규모와 결합하는 FDA의 제안을 통해 보장될 것이다.</w:t>
      </w:r>
    </w:p>
    <w:p w14:paraId="22085FFD" w14:textId="77777777" w:rsidR="00B37AB0" w:rsidRPr="002C7F14" w:rsidRDefault="00B37AB0" w:rsidP="00B37AB0">
      <w:pPr>
        <w:spacing w:line="264" w:lineRule="auto"/>
        <w:jc w:val="both"/>
        <w:rPr>
          <w:rFonts w:asciiTheme="minorEastAsia" w:eastAsiaTheme="minorEastAsia" w:hAnsiTheme="minorEastAsia" w:cs="맑은 고딕"/>
          <w:sz w:val="20"/>
          <w:szCs w:val="20"/>
          <w:lang w:eastAsia="ko-KR"/>
        </w:rPr>
      </w:pPr>
    </w:p>
    <w:p w14:paraId="1D440A3A" w14:textId="2AB30691" w:rsidR="00B37AB0" w:rsidRPr="002C7F14" w:rsidRDefault="00B37AB0" w:rsidP="00B37AB0">
      <w:pPr>
        <w:pStyle w:val="a9"/>
        <w:spacing w:line="264" w:lineRule="auto"/>
        <w:ind w:firstLine="720"/>
        <w:jc w:val="both"/>
        <w:rPr>
          <w:rFonts w:asciiTheme="minorEastAsia" w:eastAsiaTheme="minorEastAsia" w:hAnsiTheme="minorEastAsia" w:cs="맑은 고딕"/>
          <w:sz w:val="18"/>
          <w:szCs w:val="20"/>
          <w:lang w:eastAsia="ko-KR"/>
        </w:rPr>
      </w:pPr>
      <w:r w:rsidRPr="002C7F14">
        <w:rPr>
          <w:rFonts w:asciiTheme="minorEastAsia" w:eastAsiaTheme="minorEastAsia" w:hAnsiTheme="minorEastAsia" w:hint="eastAsia"/>
          <w:sz w:val="20"/>
          <w:lang w:eastAsia="ko-KR"/>
        </w:rPr>
        <w:t>SPF 값이 15 이상인 모든 자외선차단제가 (새로운) 광범위 스펙트럼 표준(비례적 차단을 요구하는 새로운 비율 포함)을 충족하도록 요구함으로써, 이 제안은 소비자가 지시된 대로 사용할 경우 더 높은 수치의 SPF 값으로 라벨링된 제품은 (제품의 SPF가 최소 15인 경우) 낮은 수치가 표시된 제품보다 일광화상뿐만 아니라 피부암 및 조기 피부 노화에 대한 보호 효과가 비례적으로 더 크다</w:t>
      </w:r>
      <w:r w:rsidRPr="002C7F14">
        <w:rPr>
          <w:rStyle w:val="a7"/>
          <w:rFonts w:asciiTheme="minorEastAsia" w:eastAsiaTheme="minorEastAsia" w:hAnsiTheme="minorEastAsia"/>
          <w:sz w:val="20"/>
          <w:lang w:eastAsia="ko-KR"/>
        </w:rPr>
        <w:footnoteReference w:id="62"/>
      </w:r>
      <w:r w:rsidRPr="002C7F14">
        <w:rPr>
          <w:rFonts w:asciiTheme="minorEastAsia" w:eastAsiaTheme="minorEastAsia" w:hAnsiTheme="minorEastAsia" w:hint="eastAsia"/>
          <w:sz w:val="20"/>
          <w:lang w:eastAsia="ko-KR"/>
        </w:rPr>
        <w:t>는 확신을 토대로 주로 라벨의 (SPF) 수치값에 의해 제품을 선택할 수 있게 할 것이다. 이를 통해 이 제안은 현행 라벨링 제도에서 허용하는 또 다른 잠재적 혼란의 원인을 제거한다. 즉, 더 높은 수치의 제품(예: SPF 30으로 라벨링된 제품)이 낮은 수치의 제품(예: 광범위 스펙트럼 SPF 15로 라벨링된 제품)보다 UVA 방사선에 대한 열등한 차단 기능을 제공할 수 있다.</w:t>
      </w:r>
    </w:p>
    <w:p w14:paraId="4F3304FD" w14:textId="73534B87"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5D857047" w14:textId="371D04D6" w:rsidR="00B37AB0" w:rsidRPr="002C7F14" w:rsidRDefault="00B37AB0" w:rsidP="008E4E2D">
      <w:pPr>
        <w:pStyle w:val="30"/>
        <w:keepNext w:val="0"/>
        <w:numPr>
          <w:ilvl w:val="0"/>
          <w:numId w:val="24"/>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 xml:space="preserve">SPF </w:t>
      </w:r>
      <w:proofErr w:type="gramStart"/>
      <w:r w:rsidRPr="002C7F14">
        <w:rPr>
          <w:rFonts w:asciiTheme="minorEastAsia" w:eastAsiaTheme="minorEastAsia" w:hAnsiTheme="minorEastAsia" w:hint="eastAsia"/>
          <w:b/>
          <w:sz w:val="20"/>
          <w:szCs w:val="20"/>
          <w:lang w:eastAsia="ko-KR"/>
        </w:rPr>
        <w:t>&lt; 15</w:t>
      </w:r>
      <w:proofErr w:type="gramEnd"/>
      <w:r w:rsidRPr="002C7F14">
        <w:rPr>
          <w:rFonts w:asciiTheme="minorEastAsia" w:eastAsiaTheme="minorEastAsia" w:hAnsiTheme="minorEastAsia" w:hint="eastAsia"/>
          <w:b/>
          <w:sz w:val="20"/>
          <w:szCs w:val="20"/>
          <w:lang w:eastAsia="ko-KR"/>
        </w:rPr>
        <w:t>인 자외선차단제</w:t>
      </w:r>
    </w:p>
    <w:p w14:paraId="08DEBCAF" w14:textId="77777777"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위에서 언급한 바와 같이, SPF 값이 15 미만인 자외선차단제는 광범위 스펙트럼 차단 기능을 제공하든 그렇지 않든 햇빛으로 인한 피부암 또는 조기 피부 노화 위험을 줄이는 것으로 입증되지 않았다. 이러한 한계로 인해, SPF 값이 15 미만인 자외선차단제를 모노그래프에서 제외하도록 제안하는 것을 고려했다. 그러나 의무총감이 인정한 바와 같이(미국 보건복지부, n.d.), 일부 소비자는 (예를 들어) 햇빛에 탄 피부를 매력 및 건강과 연관시키기 때문에 의도적인 햇빛 노출을 원할 수 있다. 이러한 소비자는 일광화상으로부터 일정 수준의 보호를 원할 수 있으므로, 저SPF 제품(즉, SPF 값이 15 미만인 제품)을 선택할 수 있다. 이러한 제품이 시장에서 제거된 경우, 이러한 소비자는 SPF가 15 이상인 광범위 스펙트럼 제품을 사용하기보다는 자외선차단제를 전혀 사용하지 않을 수 있다.</w:t>
      </w:r>
    </w:p>
    <w:p w14:paraId="1D4BC59A" w14:textId="2A26A6B1" w:rsidR="002C531C" w:rsidRPr="002C7F14" w:rsidRDefault="002C531C" w:rsidP="00EF791F">
      <w:pPr>
        <w:spacing w:line="264" w:lineRule="auto"/>
        <w:jc w:val="both"/>
        <w:rPr>
          <w:rFonts w:asciiTheme="minorEastAsia" w:eastAsiaTheme="minorEastAsia" w:hAnsiTheme="minorEastAsia" w:cs="맑은 고딕"/>
          <w:sz w:val="20"/>
          <w:szCs w:val="20"/>
          <w:lang w:eastAsia="ko-KR"/>
        </w:rPr>
      </w:pPr>
    </w:p>
    <w:p w14:paraId="6D9B5DFF" w14:textId="295AC047"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SPF가 15 미만인 자외선차단제(피부암 또는 조기 피부 노화 위험을 줄인다고 표시되지 않음)의 이점은 제한적이지만, FDA는 이러한 제품을 사용하는 것이 자외선차단제를 전혀 사용하지 않는 것보다 더 바람직하다고 판단한다. 따라서 이러한 소비자에게 일광화상 보호를 제공하기 위해 FDA는 일광화상 예방을 위한 제한적인 사용 및 햇빛에서 시간을 보내는 것과 관련된 위험에 대한 눈에 띄는 라벨이 있는 SPF 2~14의 자외선차단제(섹션 VI.E.ii.1 및 VI.E.iii 참조)는 FD&amp;C법 섹션 505G(b)(1)(A)에 따라 승인된 NDA 없이도 계속 시판할 수 있다고 제안한다.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SPF가 15 미만인 제품은 피부암 위험을 줄이는 것으로 입증되지 않았기 때문에, FDA는 SPF 값이 15 미만인 제품이 광범위 스펙트럼 시험을 통과하도록 요구하는 것을 제안하지 않는다. 그러나 이러한 자외선차단제가 제공하는 제한적인 이점이 자외선차단제 노출로 인한 위험 및 UV 차단과 관련하여 제공되는 잠재적 허위 안전감을 능가하는지(즉, 이러한 일광화상 전용 자외선차단제가 GRASE인지 및 승인된 NDA 없이 계속 시장에 남아 있어야 하는지 여부)에 대한 의견을 구한다.</w:t>
      </w:r>
    </w:p>
    <w:p w14:paraId="27D59E42" w14:textId="4925082B"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2CB72A52" w14:textId="0F135020" w:rsidR="00B37AB0" w:rsidRPr="002C7F14" w:rsidRDefault="00B37AB0" w:rsidP="008E4E2D">
      <w:pPr>
        <w:pStyle w:val="a8"/>
        <w:numPr>
          <w:ilvl w:val="0"/>
          <w:numId w:val="23"/>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최대 SPF 값 제안</w:t>
      </w:r>
    </w:p>
    <w:p w14:paraId="58259BDC" w14:textId="1F8E16DE" w:rsidR="00B37AB0" w:rsidRPr="002C7F14" w:rsidRDefault="00B37AB0" w:rsidP="008E4E2D">
      <w:pPr>
        <w:pStyle w:val="30"/>
        <w:keepNext w:val="0"/>
        <w:numPr>
          <w:ilvl w:val="0"/>
          <w:numId w:val="2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최대 라벨링 SPF 값은 SPF 60+이다.</w:t>
      </w:r>
    </w:p>
    <w:p w14:paraId="2A15D324" w14:textId="77777777"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위에서 설명한 광범위 스펙트럼 제안과 관련하여, SPF 60+의 자외선차단제 모노그래프 활성성분이 함유된 제품에 대한 최대 라벨링 SPF 값을 설정할 것을 제안하고 있다. 이 제안에 따라, SPF 값이 60 이상인 자외선차단제는 "SPF 60+"로 라벨링한다.</w:t>
      </w:r>
    </w:p>
    <w:p w14:paraId="2251E6D2" w14:textId="77777777" w:rsidR="00B37AB0" w:rsidRPr="002C7F14" w:rsidRDefault="00B37AB0" w:rsidP="00B37AB0">
      <w:pPr>
        <w:pStyle w:val="a9"/>
        <w:spacing w:line="264" w:lineRule="auto"/>
        <w:jc w:val="both"/>
        <w:rPr>
          <w:rFonts w:asciiTheme="minorEastAsia" w:eastAsiaTheme="minorEastAsia" w:hAnsiTheme="minorEastAsia"/>
          <w:sz w:val="20"/>
          <w:szCs w:val="20"/>
          <w:lang w:eastAsia="ko-KR"/>
        </w:rPr>
      </w:pPr>
    </w:p>
    <w:p w14:paraId="3B10B87E" w14:textId="77777777"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FDA는 OTC 모노그래프 시스템에 따라 시판된 자외선차단제가 라벨에 표시할 수 있는 최대 SPF 값을 여러 번 다루었다. 1978년 규칙제정공고에서는 이러한 자외선차단제는 최대 SPF 값 15로 라벨링하도록 제안했다(연방관보 43권 38206, 38213~38214 페이지). 1999년 최종 모노그래프에서 상한을 SPF 30+로 높여야 한다고 결정했다(연방관보 64권 27666, 27675 페이지). 2007년(연방관보 72권 49070, 49085~49087 페이지) 및 이후 2011년(2011년 Max SPF PR)에는 최대 50+로 SPF 값이 라벨링된 자외선차단제는 소비자에게 추가적인 임상적 이점을 제공한다는 것을 보여주는 데이터가 존재한다는 잠정 결론을 내렸다. 오늘날 최대 라벨링 SPF 값을 60+로 정하는 제안도 마찬가지로 SPF 60 자외선차단제가 광범위 스펙트럼 차단도 제공할 때 추가적인 임상적 이점을 제공한다는 데이터에 근거한 것이다.</w:t>
      </w:r>
    </w:p>
    <w:p w14:paraId="0B828814" w14:textId="77777777" w:rsidR="00B37AB0" w:rsidRPr="002C7F14" w:rsidRDefault="00B37AB0" w:rsidP="00B37AB0">
      <w:pPr>
        <w:pStyle w:val="a9"/>
        <w:spacing w:line="264" w:lineRule="auto"/>
        <w:jc w:val="both"/>
        <w:rPr>
          <w:rFonts w:asciiTheme="minorEastAsia" w:eastAsiaTheme="minorEastAsia" w:hAnsiTheme="minorEastAsia"/>
          <w:sz w:val="20"/>
          <w:szCs w:val="20"/>
          <w:lang w:eastAsia="ko-KR"/>
        </w:rPr>
      </w:pPr>
    </w:p>
    <w:p w14:paraId="6345B620" w14:textId="77777777"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SPF 50+ 상한을 제안한 2011년 Max SPFP PR에서 당시 기록에는 SPF 값이 50이 50 이상인 자외선차단제가 SPF 50 차단에 의해 제공되는 것 이상의 추가적인 유의미한 임상적 이점을 제공한다는 것을 입증하는 적절한 데이터가 부족했다(연방관보 76권 35672, 35672~35674 페이지). 이러한 임상적 이점이 존재함을 보여주는 데이터를 요청했다(동일 출처). 2007년 및 2011년 제안 둘 다에 대응하여 특정 위험 인구집단에 대해 SPF 값이 60인 자외선차단제가 광범위 스펙트럼 차단 기능도 포함하는 경우 제공하는 추가적인 유의미한 임상적 이점을 보여주는 데이터를 인용한 의견을 접수했다(예를 들어, Ulrich외 공저자들(비흑색종 피부암에 매우 취약한 장기 이식 수혜자들이 광범위 스펙트럼 SPF 60 자외선차단제를 사용하여 편평세포암으로부터 통계적으로 유의미하게 보호되었음을 보여줌)(Ulrich외 공저 2009년) 참조. 또한 Kuhn외 공저자들(UVA I 광원 또는 UVA II/UVB 광원에 노출된 후 광범위 스펙트럼 SPF 60 자외선차단제를 사용한 국소성 홍반루푸스 환자의 피부 병변이 통계적으로 유의미하게 예방되었음을 보여줌)(Kuhn외 공저 2011년); Faurschou외 공저자들(광범위 스펙트럼 SPF 60 자외선차단제를 사용하여 특발성 일광 두드러기가 있는 피험자의 두드러기 반응이 예방되었음을 보여줌)(Faurschou 및 Wulf 2008년); Fourtanier외 공저자들(SPF 50 제품 대비 광범위 스펙트럼 SPF 60 제품을 사용한 피험자에서 다형광발진 수준이 낮게 나타남)(Fourtanier외 공저 2008년)을 인용한 의견 FDA-1978-N-0018-0710, 2011년 8월 31일도 참조). 이러한 연구에서 제시된 광범위 스펙트럼 SPF 60 자외선차단제가 제공하는 추가적인 유의미한 임상적 이점을 바탕으로, 최대 라벨링 SPF 값이 SPF 60+이어야 한다고 제안하고 있다. </w:t>
      </w:r>
    </w:p>
    <w:p w14:paraId="546A3B12" w14:textId="77777777" w:rsidR="00B37AB0" w:rsidRPr="002C7F14" w:rsidRDefault="00B37AB0" w:rsidP="00B37AB0">
      <w:pPr>
        <w:pStyle w:val="a9"/>
        <w:spacing w:line="264" w:lineRule="auto"/>
        <w:jc w:val="both"/>
        <w:rPr>
          <w:rFonts w:asciiTheme="minorEastAsia" w:eastAsiaTheme="minorEastAsia" w:hAnsiTheme="minorEastAsia"/>
          <w:sz w:val="20"/>
          <w:szCs w:val="20"/>
          <w:lang w:eastAsia="ko-KR"/>
        </w:rPr>
      </w:pPr>
    </w:p>
    <w:p w14:paraId="0468D54D" w14:textId="6B7A0B5F"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그러나 SPF 60 자외선차단제가 제공하는 추가적인 유의미한 임상적 이점을 입증하는 연구는 모두 광범위 스펙트럼 보호를 제공하는 자외선차단제를 사용했기 때문에, SPF 60에서 존재하는 것으로 나타난 추가적인 임상적 이점을 이러한 제품에 의해 제공되는 광범위 스펙트럼 차단 기능에서 분리할 수 없다. 즉, 이러한 연구에 제시된 추가적인 유의미한 임상적 이점은 UVB 범위나 UVA 범위 또는 둘 다에 대한 자외선차단제의 차단 결과일 수 있다. 이러한 이유로 SPF 값이 50을 초과하는 자외선차단제가 제공하는 추가적인 유의미한 임상적 이점을 인정하려는 제안은 SPF 값이 15 이상인 모든 자외선차단제가 광범위 스펙트럼 차단 기능을 제공해야 한다는 제안에 부합하며 이 제안에 의존한다. </w:t>
      </w:r>
    </w:p>
    <w:p w14:paraId="4413210A" w14:textId="77777777" w:rsidR="00B37AB0" w:rsidRPr="002C7F14" w:rsidRDefault="00B37AB0" w:rsidP="00B37AB0">
      <w:pPr>
        <w:pStyle w:val="a9"/>
        <w:spacing w:line="264" w:lineRule="auto"/>
        <w:jc w:val="both"/>
        <w:rPr>
          <w:rFonts w:asciiTheme="minorEastAsia" w:eastAsiaTheme="minorEastAsia" w:hAnsiTheme="minorEastAsia"/>
          <w:sz w:val="20"/>
          <w:szCs w:val="20"/>
          <w:lang w:eastAsia="ko-KR"/>
        </w:rPr>
      </w:pPr>
    </w:p>
    <w:p w14:paraId="29AB13A0" w14:textId="44CB9F1F" w:rsidR="00B37AB0" w:rsidRPr="002C7F14" w:rsidRDefault="00B37AB0" w:rsidP="00B37AB0">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그러나 SPF 값이 60을 </w:t>
      </w:r>
      <w:r w:rsidRPr="002C7F14">
        <w:rPr>
          <w:rFonts w:asciiTheme="minorEastAsia" w:eastAsiaTheme="minorEastAsia" w:hAnsiTheme="minorEastAsia" w:hint="eastAsia"/>
          <w:i/>
          <w:sz w:val="20"/>
          <w:szCs w:val="20"/>
          <w:lang w:eastAsia="ko-KR"/>
        </w:rPr>
        <w:t>초과</w:t>
      </w:r>
      <w:r w:rsidRPr="002C7F14">
        <w:rPr>
          <w:rFonts w:asciiTheme="minorEastAsia" w:eastAsiaTheme="minorEastAsia" w:hAnsiTheme="minorEastAsia" w:hint="eastAsia"/>
          <w:sz w:val="20"/>
          <w:szCs w:val="20"/>
          <w:lang w:eastAsia="ko-KR"/>
        </w:rPr>
        <w:t>하는 자외선차단제가 추가적인 유의미한 임상적 이점을 제공함을 보여주는 데이터가 부족하다는 점을 감안하여, 모노그래프에 따라 60+를 초과하는 SPF 값의 라벨링을 허용하지 않을 것을 제안하고 있다(FD&amp;C법 제505G(b)(1)(C)조 참조). 추가적인 유의미한 임상적 이점을 제공하는 것으로 입증된 것보다 높은 SPF 값으로 자외선차단제를 라벨링하면 의도치 않은 부정적인 결과를 초래할 수 있다. 예를 들어, 위에서 논의한 바와 같이, 이러한 제품은 소비자가 보호받고 있다고 느끼며 SPF 값이 높을수록 더 큰 UV 노출에 안전하다고 가정하기 때문에 의도치 않게 장시간의 일광 노출을 촉진할 수 있다(예를 들어 Autier외 공저 2007년 참조).</w:t>
      </w:r>
    </w:p>
    <w:p w14:paraId="7FF15BEC" w14:textId="77777777"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349D4180" w14:textId="68D26E19" w:rsidR="002C531C" w:rsidRPr="002C7F14" w:rsidRDefault="00B37AB0" w:rsidP="008E4E2D">
      <w:pPr>
        <w:pStyle w:val="30"/>
        <w:keepNext w:val="0"/>
        <w:numPr>
          <w:ilvl w:val="0"/>
          <w:numId w:val="2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자외선차단제 제형 상한 – SPF 80</w:t>
      </w:r>
    </w:p>
    <w:p w14:paraId="3058AA1E" w14:textId="0C564EBA" w:rsidR="00B37AB0" w:rsidRPr="002C7F14" w:rsidRDefault="0014084F" w:rsidP="0014084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noProof/>
          <w:sz w:val="20"/>
          <w:szCs w:val="20"/>
          <w:lang w:eastAsia="ko-KR"/>
        </w:rPr>
        <mc:AlternateContent>
          <mc:Choice Requires="wps">
            <w:drawing>
              <wp:anchor distT="0" distB="0" distL="114300" distR="114300" simplePos="0" relativeHeight="251648512" behindDoc="0" locked="0" layoutInCell="1" allowOverlap="1" wp14:anchorId="1A4E15B9" wp14:editId="2192370C">
                <wp:simplePos x="0" y="0"/>
                <wp:positionH relativeFrom="column">
                  <wp:posOffset>4962525</wp:posOffset>
                </wp:positionH>
                <wp:positionV relativeFrom="paragraph">
                  <wp:posOffset>2275840</wp:posOffset>
                </wp:positionV>
                <wp:extent cx="200025" cy="0"/>
                <wp:effectExtent l="0" t="0" r="0" b="0"/>
                <wp:wrapNone/>
                <wp:docPr id="1" name="직선 연결선 1"/>
                <wp:cNvGraphicFramePr/>
                <a:graphic xmlns:a="http://schemas.openxmlformats.org/drawingml/2006/main">
                  <a:graphicData uri="http://schemas.microsoft.com/office/word/2010/wordprocessingShape">
                    <wps:wsp>
                      <wps:cNvCnPr/>
                      <wps:spPr>
                        <a:xfrm>
                          <a:off x="0" y="0"/>
                          <a:ext cx="20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95C30B" id="직선 연결선 1" o:spid="_x0000_s1026" style="position:absolute;left:0;text-align:left;z-index:251648512;visibility:visible;mso-wrap-style:square;mso-wrap-distance-left:9pt;mso-wrap-distance-top:0;mso-wrap-distance-right:9pt;mso-wrap-distance-bottom:0;mso-position-horizontal:absolute;mso-position-horizontal-relative:text;mso-position-vertical:absolute;mso-position-vertical-relative:text" from="390.75pt,179.2pt" to="406.5pt,1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" strokecolor="black [3200]" strokeweight=".5pt">
                <v:stroke joinstyle="miter"/>
              </v:line>
            </w:pict>
          </mc:Fallback>
        </mc:AlternateContent>
      </w:r>
      <w:r w:rsidRPr="002C7F14">
        <w:rPr>
          <w:rFonts w:asciiTheme="minorEastAsia" w:eastAsiaTheme="minorEastAsia" w:hAnsiTheme="minorEastAsia" w:hint="eastAsia"/>
          <w:sz w:val="20"/>
          <w:szCs w:val="20"/>
          <w:lang w:eastAsia="ko-KR"/>
        </w:rPr>
        <w:t>최대 라벨링 SPF 값을 SPF 60+로 제안하고 있지만, (FD&amp;C법 제505G(b)(1)(A)조에 따라) 결정된</w:t>
      </w:r>
      <w:r w:rsidRPr="002C7F14">
        <w:rPr>
          <w:rStyle w:val="a7"/>
          <w:rFonts w:asciiTheme="minorEastAsia" w:eastAsiaTheme="minorEastAsia" w:hAnsiTheme="minorEastAsia"/>
          <w:sz w:val="20"/>
          <w:szCs w:val="20"/>
          <w:lang w:eastAsia="ko-KR"/>
        </w:rPr>
        <w:footnoteReference w:id="63"/>
      </w:r>
      <w:r w:rsidRPr="002C7F14">
        <w:rPr>
          <w:rFonts w:asciiTheme="minorEastAsia" w:eastAsiaTheme="minorEastAsia" w:hAnsiTheme="minorEastAsia" w:hint="eastAsia"/>
          <w:sz w:val="20"/>
          <w:szCs w:val="20"/>
          <w:lang w:eastAsia="ko-KR"/>
        </w:rPr>
        <w:t xml:space="preserve"> SPF 값이 최대 80으로 제형화된 자외선차단제의 시판을 허용할 것을 제안하고 있다. 부분적으로 SPF 시험 결과의 내재적 변동성 때문에 이 추가 제형 마진을 허용할 것을 제안하고 있다. 자외선차단제의 SPF 값은 시험자가 피험자의 등에 연속적으로 적용된 일련의 UV 조사량에 대한 개별 시험 피험자의 홍반 반응을 육안으로 평가하여 측정한 결과를 통해 계산된다. 예상 SPF가 60인 자외선차단제의 최종 최소홍반량(MED)</w:t>
      </w:r>
      <w:r w:rsidRPr="002C7F14">
        <w:rPr>
          <w:rStyle w:val="a7"/>
          <w:rFonts w:asciiTheme="minorEastAsia" w:eastAsiaTheme="minorEastAsia" w:hAnsiTheme="minorEastAsia"/>
          <w:sz w:val="20"/>
          <w:szCs w:val="20"/>
          <w:lang w:eastAsia="ko-KR"/>
        </w:rPr>
        <w:footnoteReference w:id="64"/>
      </w:r>
      <w:r w:rsidRPr="002C7F14">
        <w:rPr>
          <w:rFonts w:asciiTheme="minorEastAsia" w:eastAsiaTheme="minorEastAsia" w:hAnsiTheme="minorEastAsia" w:hint="eastAsia"/>
          <w:sz w:val="20"/>
          <w:szCs w:val="20"/>
          <w:lang w:eastAsia="ko-KR"/>
        </w:rPr>
        <w:t xml:space="preserve">을 위해 적용된 UV 조사량 시리즈는 </w:t>
      </w:r>
      <w:r w:rsidR="00A33DD7" w:rsidRPr="002C7F14">
        <w:rPr>
          <w:rFonts w:asciiTheme="minorEastAsia" w:eastAsiaTheme="minorEastAsia" w:hAnsiTheme="minorEastAsia" w:hint="eastAsia"/>
          <w:sz w:val="20"/>
          <w:szCs w:val="20"/>
          <w:lang w:eastAsia="ko-KR"/>
        </w:rPr>
        <w:t>연속적</w:t>
      </w:r>
      <w:r w:rsidRPr="002C7F14">
        <w:rPr>
          <w:rFonts w:asciiTheme="minorEastAsia" w:eastAsiaTheme="minorEastAsia" w:hAnsiTheme="minorEastAsia" w:hint="eastAsia"/>
          <w:sz w:val="20"/>
          <w:szCs w:val="20"/>
          <w:lang w:eastAsia="ko-KR"/>
        </w:rPr>
        <w:t>으로 적용되는 각 조사량에서 15%씩 증가하기 때문에 (최종간주명령의 § M020.80(e)(3), 본 제안의 § M020.80(f)(3) 참조), 한 부위에 대한 반대 방향의 판단 차이는 홍반을 유발한 노출량 평가에서 최대 약 30%의 변동성을 초래한다.</w:t>
      </w:r>
      <w:r w:rsidRPr="002C7F14">
        <w:rPr>
          <w:rStyle w:val="a7"/>
          <w:rFonts w:asciiTheme="minorEastAsia" w:eastAsiaTheme="minorEastAsia" w:hAnsiTheme="minorEastAsia"/>
          <w:sz w:val="20"/>
          <w:szCs w:val="20"/>
          <w:lang w:eastAsia="ko-KR"/>
        </w:rPr>
        <w:footnoteReference w:id="65"/>
      </w:r>
      <w:r w:rsidRPr="002C7F14">
        <w:rPr>
          <w:rFonts w:asciiTheme="minorEastAsia" w:eastAsiaTheme="minorEastAsia" w:hAnsiTheme="minorEastAsia" w:cs="맑은 고딕"/>
          <w:sz w:val="20"/>
          <w:szCs w:val="20"/>
          <w:lang w:eastAsia="ko-KR"/>
        </w:rPr>
        <w:t xml:space="preserve"> </w:t>
      </w:r>
    </w:p>
    <w:p w14:paraId="41E27625" w14:textId="27DB532B"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181AFCCB" w14:textId="77777777" w:rsidR="0014084F" w:rsidRPr="002C7F14" w:rsidRDefault="0014084F" w:rsidP="0014084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따라서 결정된 SPF 시험 결과가 최대 80인 자외선차단제 모노그래프 제품의 시판을 허용하면 SPF 60+로 라벨링된 자외선차단제에 대한 SPF 시험 결과의 변동 범위를 보다 충분히 반영할 수 있다. 또한 UVA 차단 기능을 강화하는 주요 목적을 위해 추가된 활성성분이 자외선차단제의 결정된 SPF 값에도 기여할 것이라는 예상을 감안하여, UVA 차단 기능이 더 높은 제품 개발을 촉진하는 데 도움이 될 것으로 기대하는 추가적인 제형 유연성을 제공하기 위해 이 제형 마진을 제안하고 있다. SPF 80이 이러한 목표를 달성하기 위해 적절한 제형 상한인지 여부에 대한 의견을 구한다.</w:t>
      </w:r>
    </w:p>
    <w:p w14:paraId="2412576A" w14:textId="6EB03939"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751FBA88" w14:textId="77777777" w:rsidR="0014084F" w:rsidRPr="002C7F14" w:rsidRDefault="0014084F" w:rsidP="0014084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결정된 SPF 값이 SPF 80을 초과하는 자외선차단제의 시판을 (승인된 NDA 없이) 허용하지 않을 것을 제안하고 있다. 이 제안은 의약품에 성분을 추가해도 추가적인 임상적 이점을 제공하지 않지만 잠재적으로 의약품과 관련된 위험을 증가시킬 가능성이 있는 경우 이익-위험 계산이 바뀌어 의약품이 GRASE가 아니게 된다는 원칙에 따른 것이다(예를 들어 연방관보 76권 35673, 35675 페이지 참조). 이 원칙에 따라 자외선차단제에 대한 제형 상한의 적절성에 대한 의견을 요청했다(동일 출처). </w:t>
      </w:r>
    </w:p>
    <w:p w14:paraId="799036FD" w14:textId="2C9A8EB5"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46C7740A" w14:textId="17B6A5A5" w:rsidR="0014084F" w:rsidRPr="002C7F14" w:rsidRDefault="0014084F" w:rsidP="0014084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2011년 Max SPF PR에 대해 접수된 의견 중 일부는 (전반적으로) 자외선차단제 활성성분에 대한 불필요한 노출의 안전성에 대한 우려를 표명했다. 그러나 SPF 제형 상한에 대한 문제를 직접적으로 다룬 의견은 단 한 건만 접수했다. 이 의견은 SPF 라벨링 상한을 사용하는 다른 국가에는 제형 제한이 없으며 모노그래프 자체의 허용된 활성성분 목록이 제형 전체에 대한 SPF 상한을 설정한다는 점을 강조했다. FDA는 허용된 활성성분 목록이 자외선차단제 제형에 대한 적절한 SPF 상한을 설정한다는 전제를 거부한다. 이 이론은 모노그래프의 활성성분 목록에 새로운 GRASE 성분이 추가될 가능성을 고려하지 않기 때문이다. 또한 이 의견은 각 활성성분의 최대 농도가 제품의 총 SPF 값에 대한 특정 수치적 기여도와 구체적으로 상관관계가 있음을 시사하는 것으로 보인다. 이는 아직 확립되지 않은 사항이다(연방관보 64권 27666, 27674 및 27675 페이지 참조(제형 기술은 활성성분의 농도를 높이지 않고도 SPF를 높일 수 있음)). 또한 2011년 Max SPF PR(연방관보 76권 35672, 35674 페이지)에서 언급한 바와 같이, 실험실에서 생성된 더 높은 SPF 값이 암시하는 이론적 차단 증가가 실제 사용 조건에서 소비자에게 유의미한 추가적인 일광화상 보호와 반드시 일치하는 것은 아니다. 실험실의 태양광 시뮬레이터는 (가장 극단적인 상황에서) 소비자가 햇빛에서 받는 것보다 훨씬 더 높은 UV 조사량을 생성할 수 있다는 점을 감안할 때, 소비자가 실제로 허용된 활성성분 목록에 의해 생성된 이론적 상한에 도달할 가능성은 거의 없다.</w:t>
      </w:r>
    </w:p>
    <w:p w14:paraId="406186E7" w14:textId="78811AE4"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54FD721F" w14:textId="77777777" w:rsidR="0014084F" w:rsidRPr="002C7F14" w:rsidRDefault="0014084F" w:rsidP="0014084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결정된 SPF 값이 SPF 60을 초과하는 자외선차단제의 입증된 임상적 이점이 부족하고 이 문서의 다른 곳에서 논의된 바와 같이 자외선차단제 활성성분에 대한 노출과 관련된 위험 가능성을 고려하여, 결정된 SPF 값이 SPF 80을 초과하는 자외선차단제의 시판을 허용하지 않을 것을 제안한다(FD&amp;C법 제505G(b)(1)(C)조 참조). 이 제안은 SPF 60 제한을 완전히 적용하는 동시에 제형 유연성을 가능하게 하도록 의도된 제형 마진을 반영한다.</w:t>
      </w:r>
    </w:p>
    <w:p w14:paraId="0BF187E7" w14:textId="4BF7721F"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6EE1FADB" w14:textId="3B9DC013" w:rsidR="00B37AB0" w:rsidRPr="002C7F14" w:rsidRDefault="00165DB9" w:rsidP="008E4E2D">
      <w:pPr>
        <w:pStyle w:val="30"/>
        <w:keepNext w:val="0"/>
        <w:numPr>
          <w:ilvl w:val="0"/>
          <w:numId w:val="25"/>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 SPF 15 라벨링 제안</w:t>
      </w:r>
    </w:p>
    <w:p w14:paraId="41938DF9" w14:textId="39D4C710"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마지막으로 결정된 SPF 값이 15 이상인 자외선차단제 모노그래프 제품은 표 5에 제시된 대로 시험된 SPF 결과 범위의 최저 수치에 해당하는 SPF 숫자로 표시하도록 요구할 것을 제안하고 있다.</w:t>
      </w:r>
      <w:r w:rsidRPr="002C7F14">
        <w:rPr>
          <w:rStyle w:val="a7"/>
          <w:rFonts w:asciiTheme="minorEastAsia" w:eastAsiaTheme="minorEastAsia" w:hAnsiTheme="minorEastAsia"/>
          <w:sz w:val="20"/>
          <w:szCs w:val="20"/>
          <w:lang w:eastAsia="ko-KR"/>
        </w:rPr>
        <w:footnoteReference w:id="66"/>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예를 들어, SPF 15~19에서 시험한 자외선차단제는 "SPF 15"로, 40~49에서 시험한 자외선차단제는 "SPF 40"으로 라벨링한다.</w:t>
      </w:r>
      <w:r w:rsidRPr="002C7F14">
        <w:rPr>
          <w:rStyle w:val="a7"/>
          <w:rFonts w:asciiTheme="minorEastAsia" w:eastAsiaTheme="minorEastAsia" w:hAnsiTheme="minorEastAsia"/>
          <w:sz w:val="20"/>
          <w:szCs w:val="20"/>
          <w:lang w:eastAsia="ko-KR"/>
        </w:rPr>
        <w:footnoteReference w:id="67"/>
      </w:r>
    </w:p>
    <w:p w14:paraId="3F4FE21E" w14:textId="76A2779B"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3F533AC4" w14:textId="5A91AB7A"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제안은 밀접하게 그룹화된 SPF 값 간에 유의미한 효능 차이를 보여주는 임상 데이터가 부족하기 때문에, 자외선차단제의 상대적 효능에 대해 소비자를 오도하는 것을 피하도록 설계되었다. 2011년 L&amp;E 최종 규칙에서 FDA는 SPF를 5의 배수로 라벨링하자는 요청을 거부했으며, SPF 값은 일반적으로 5 단위 미만의 간격으로 라벨링할 수 있는 정밀도로 결정할 수 있기 때문에 이 라벨링 접근방식에 대한 수학적 또는 통계적 근거가 없다고 지적했다. 그러나 개별 연구 피험자에 대해 시험한 SPF 값과 동일한 자외선차단제 제형을 시험한 여러 실험실에서 얻은 결정된 SPF 결과 간 변동성(즉, 육안 평가에 의존하는 임상 시험에 내재된 변동성)(FDA-1978-N-0018- 0740, 2011년; Stanfield외 공저 2011년)을 보여주는 새로운 데이터로 인해 이 문제를 재검토하게 되었다.</w:t>
      </w:r>
    </w:p>
    <w:p w14:paraId="51D365ED" w14:textId="35FA0F3D"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797DABA8" w14:textId="648FD8C0"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위에서 설명한 바와 같이, 임상 SPF 시험은 자외선차단제를 처리한 부위와 처리하지 않은 부위 모두에서 피험자의 등에 연속적으로 각 조사량마다 15~25%씩 증가하는 여러 특정 UV 조사량을 적용하기 위해(특정 UV 조사량은 제품의 예상 SPF 및 개별 피험자의 UV 민감도 결정에서 도출함) 태양광 시뮬레이터를 사용하여 수행한다. 그런 다음 임상 시험자는 경계가 명확하게 정의된 눈에 띄는 피부 발적(홍반)이 있는 부위를 식별하기 위해 자외선차단제를 처리한 부위 및 처리하지 않은 부위를 둘 다 육안으로 평가한다. 단일 피험자 등의 여러 부위 중 어느 부위가 "명확하게 정의된 경계" 기준을 충족하는지 결정하는 것은 임상적 판단의 일부이다. 시험자가 이러한 판단을 내리면, 경계가 명확하게 정의된 홍반의 피부 반응이 관찰된 부위를 유발하는 데 필요한 최저 UV 조사량을 기록한다. 이러한 방식으로 여러 개별 피험자를 평가한 후, 그 결과로 얻은 UV 노출 정보를 시험 중인 자외선차단제의 결정된 SPF 값을 계산하는 데 사용한다. 검토된 데이터에 따르면, 이 과정에서 수행된 임상 평가는 SPF 범위의 사용을 정당화하는 변동성을 생성하는 것으로 나타났다.</w:t>
      </w:r>
    </w:p>
    <w:p w14:paraId="55275E57" w14:textId="625B1EDF"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5C5F7EC0" w14:textId="77777777" w:rsidR="00165DB9" w:rsidRPr="002C7F14" w:rsidRDefault="00165DB9" w:rsidP="00165DB9">
      <w:pPr>
        <w:widowControl/>
        <w:autoSpaceDE/>
        <w:autoSpaceDN/>
        <w:spacing w:line="259" w:lineRule="auto"/>
        <w:jc w:val="both"/>
        <w:rPr>
          <w:rFonts w:asciiTheme="minorEastAsia" w:eastAsiaTheme="minorEastAsia" w:hAnsiTheme="minorEastAsia" w:cs="Arial"/>
          <w:sz w:val="20"/>
          <w:szCs w:val="20"/>
          <w:lang w:eastAsia="ko-KR"/>
        </w:rPr>
      </w:pPr>
      <w:r w:rsidRPr="002C7F14">
        <w:rPr>
          <w:rFonts w:asciiTheme="minorEastAsia" w:eastAsiaTheme="minorEastAsia" w:hAnsiTheme="minorEastAsia"/>
          <w:sz w:val="20"/>
          <w:szCs w:val="20"/>
          <w:lang w:eastAsia="ko-KR"/>
        </w:rPr>
        <w:br w:type="page"/>
      </w:r>
    </w:p>
    <w:p w14:paraId="5BCFAE61" w14:textId="3487E4C1"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예를 들어, 5명의 피험자 패널을 사용한 연구에서 여러 실험실에서 관찰된 평균 SPF 값은 목표 SPF 80의 경우 54~82의 범위였다(FDA-1978-N-0018-0740, 2011년). 이 연구는 실험실에 목표 SPF를 알려주지 않고 예상 SPF가 100인 제품에 대해 SPF 20~100의 범위를 제공한 시나리오도 평가했다. 그 결과, 실험실에서 라벨링된 SPF 100을 재현하는 것이 매우 어려웠으며, 평균 SPF 값은 37~75의 범위였다. 25명의 피험자로 구성된 여러 패널을 사용한 두 번째 제어된 무작위 연구에서, 4개 실험실이 시험한 두 가지 자외선차단제 제형의 결정된 SPF는 목표 SPF 70의 경우 63~69의 범위였고, 목표 SPF 90의 경우 82~89의 범위였다(Stanfield외 공저 2011년). 두 번째 연구에서 관찰된 차이의 크기는 통계적으로 유의미하지 않았지만, 단일 제형에 대해 여러 실험실이 서로 다른 구체적인 수치 값을 결정했다는 사실은 범위를 나타내는 라벨링된 값을 사용하는 것이 제품에 의해 제공되는 자외선 차단 효과를 더 정확하게 나타내므로 소비자를 오도하는 것을 방지하는 데 적절하다는 것을 시사한다.</w:t>
      </w:r>
    </w:p>
    <w:p w14:paraId="5CBC4719" w14:textId="3E006E1D"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318D14D2" w14:textId="7FE48517" w:rsidR="00165DB9" w:rsidRPr="002C7F14" w:rsidRDefault="00165DB9" w:rsidP="00165DB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SPF 값의 변동성은 고SPF에서 심화된다. 예를 들어, 결정된 SPF 값 20에서 30%의 변동성을 보이는 개별 시험 결과는 SPF 14~SPF 26의 범위였고, 결정된 SPF 값 50에서 30%의 변동성을 보이는 개별 시험 결과는 SPF 35~SPF 65의 범위였다. 따라서 표 5에 제시된 바와 같이, 라벨링된 SPF 숫자에 반영된 시험값의 범위는 SPF 값이 높을수록 더 넓고 SPF 값이 낮을수록 더 좁아야 하며, 라벨링된 SPF 값은 정확한 수치 값이 아닌 범위에 해당해야 한다는 요구사항은 SPF 15 미만에서는 필요하지 않다고 제안한다.</w:t>
      </w:r>
    </w:p>
    <w:p w14:paraId="064E2ACA" w14:textId="33C0C7F5"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3A9EB79A" w14:textId="63A8C48E" w:rsidR="00165DB9" w:rsidRPr="002C7F14" w:rsidRDefault="00165DB9" w:rsidP="00165DB9">
      <w:pPr>
        <w:pStyle w:val="a9"/>
        <w:spacing w:line="264" w:lineRule="auto"/>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표 </w:t>
      </w:r>
      <w:proofErr w:type="gramStart"/>
      <w:r w:rsidRPr="002C7F14">
        <w:rPr>
          <w:rFonts w:asciiTheme="minorEastAsia" w:eastAsiaTheme="minorEastAsia" w:hAnsiTheme="minorEastAsia" w:hint="eastAsia"/>
          <w:sz w:val="20"/>
          <w:szCs w:val="20"/>
          <w:lang w:eastAsia="ko-KR"/>
        </w:rPr>
        <w:t>5.-</w:t>
      </w:r>
      <w:r w:rsidRPr="002C7F14">
        <w:rPr>
          <w:rFonts w:asciiTheme="minorEastAsia" w:eastAsiaTheme="minorEastAsia" w:hAnsiTheme="minorEastAsia"/>
          <w:sz w:val="20"/>
          <w:szCs w:val="20"/>
          <w:lang w:eastAsia="ko-KR"/>
        </w:rPr>
        <w:t>-</w:t>
      </w:r>
      <w:proofErr w:type="gramEnd"/>
      <w:r w:rsidRPr="002C7F14">
        <w:rPr>
          <w:rFonts w:asciiTheme="minorEastAsia" w:eastAsiaTheme="minorEastAsia" w:hAnsiTheme="minorEastAsia" w:hint="eastAsia"/>
          <w:sz w:val="20"/>
          <w:szCs w:val="20"/>
          <w:lang w:eastAsia="ko-KR"/>
        </w:rPr>
        <w:t>제안된 SPF 라벨링 범위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firstRow="1" w:lastRow="1" w:firstColumn="1" w:lastColumn="1" w:noHBand="0" w:noVBand="0"/>
      </w:tblPr>
      <w:tblGrid>
        <w:gridCol w:w="2765"/>
        <w:gridCol w:w="2765"/>
      </w:tblGrid>
      <w:tr w:rsidR="00165DB9" w:rsidRPr="002C7F14" w14:paraId="1192240F" w14:textId="77777777" w:rsidTr="00165DB9">
        <w:trPr>
          <w:trHeight w:val="20"/>
          <w:jc w:val="center"/>
        </w:trPr>
        <w:tc>
          <w:tcPr>
            <w:tcW w:w="2765" w:type="dxa"/>
            <w:tcBorders>
              <w:left w:val="single" w:sz="8" w:space="0" w:color="000000"/>
            </w:tcBorders>
            <w:vAlign w:val="center"/>
          </w:tcPr>
          <w:p w14:paraId="1FC9997C" w14:textId="77777777" w:rsidR="00165DB9" w:rsidRPr="002C7F14" w:rsidRDefault="00165DB9" w:rsidP="00165DB9">
            <w:pPr>
              <w:pStyle w:val="TableParagraph"/>
              <w:spacing w:line="264" w:lineRule="auto"/>
              <w:ind w:left="0"/>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결정된 SPF 값 범위</w:t>
            </w:r>
          </w:p>
        </w:tc>
        <w:tc>
          <w:tcPr>
            <w:tcW w:w="2765" w:type="dxa"/>
            <w:tcBorders>
              <w:right w:val="single" w:sz="8" w:space="0" w:color="000000"/>
            </w:tcBorders>
            <w:vAlign w:val="center"/>
          </w:tcPr>
          <w:p w14:paraId="1411FFE1" w14:textId="77777777" w:rsidR="00165DB9" w:rsidRPr="002C7F14" w:rsidRDefault="00165DB9" w:rsidP="00165DB9">
            <w:pPr>
              <w:pStyle w:val="TableParagraph"/>
              <w:spacing w:line="264" w:lineRule="auto"/>
              <w:ind w:left="0"/>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라벨링된 SPF 값</w:t>
            </w:r>
          </w:p>
        </w:tc>
      </w:tr>
      <w:tr w:rsidR="00165DB9" w:rsidRPr="002C7F14" w14:paraId="15DCCDC9" w14:textId="77777777" w:rsidTr="00165DB9">
        <w:trPr>
          <w:trHeight w:val="20"/>
          <w:jc w:val="center"/>
        </w:trPr>
        <w:tc>
          <w:tcPr>
            <w:tcW w:w="2765" w:type="dxa"/>
            <w:tcBorders>
              <w:left w:val="single" w:sz="8" w:space="0" w:color="000000"/>
            </w:tcBorders>
          </w:tcPr>
          <w:p w14:paraId="2E7E0FF5"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60-80</w:t>
            </w:r>
          </w:p>
        </w:tc>
        <w:tc>
          <w:tcPr>
            <w:tcW w:w="2765" w:type="dxa"/>
            <w:tcBorders>
              <w:right w:val="single" w:sz="8" w:space="0" w:color="000000"/>
            </w:tcBorders>
          </w:tcPr>
          <w:p w14:paraId="3536E430" w14:textId="77777777" w:rsidR="00165DB9" w:rsidRPr="002C7F14" w:rsidRDefault="00165DB9" w:rsidP="00165DB9">
            <w:pPr>
              <w:pStyle w:val="TableParagraph"/>
              <w:spacing w:line="264" w:lineRule="auto"/>
              <w:ind w:left="0" w:right="85"/>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60+</w:t>
            </w:r>
          </w:p>
        </w:tc>
      </w:tr>
      <w:tr w:rsidR="00165DB9" w:rsidRPr="002C7F14" w14:paraId="6B56E89A" w14:textId="77777777" w:rsidTr="00165DB9">
        <w:trPr>
          <w:trHeight w:val="20"/>
          <w:jc w:val="center"/>
        </w:trPr>
        <w:tc>
          <w:tcPr>
            <w:tcW w:w="2765" w:type="dxa"/>
            <w:tcBorders>
              <w:left w:val="single" w:sz="8" w:space="0" w:color="000000"/>
            </w:tcBorders>
          </w:tcPr>
          <w:p w14:paraId="52CF46A9"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50-59</w:t>
            </w:r>
          </w:p>
        </w:tc>
        <w:tc>
          <w:tcPr>
            <w:tcW w:w="2765" w:type="dxa"/>
            <w:tcBorders>
              <w:right w:val="single" w:sz="8" w:space="0" w:color="000000"/>
            </w:tcBorders>
          </w:tcPr>
          <w:p w14:paraId="74D6B126" w14:textId="77777777" w:rsidR="00165DB9" w:rsidRPr="002C7F14" w:rsidRDefault="00165DB9" w:rsidP="00165DB9">
            <w:pPr>
              <w:pStyle w:val="TableParagraph"/>
              <w:spacing w:line="264" w:lineRule="auto"/>
              <w:ind w:left="0" w:right="86"/>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50</w:t>
            </w:r>
          </w:p>
        </w:tc>
      </w:tr>
      <w:tr w:rsidR="00165DB9" w:rsidRPr="002C7F14" w14:paraId="52A0F9E2" w14:textId="77777777" w:rsidTr="00165DB9">
        <w:trPr>
          <w:trHeight w:val="20"/>
          <w:jc w:val="center"/>
        </w:trPr>
        <w:tc>
          <w:tcPr>
            <w:tcW w:w="2765" w:type="dxa"/>
            <w:tcBorders>
              <w:left w:val="single" w:sz="8" w:space="0" w:color="000000"/>
            </w:tcBorders>
          </w:tcPr>
          <w:p w14:paraId="00264812"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40-49</w:t>
            </w:r>
          </w:p>
        </w:tc>
        <w:tc>
          <w:tcPr>
            <w:tcW w:w="2765" w:type="dxa"/>
            <w:tcBorders>
              <w:right w:val="single" w:sz="8" w:space="0" w:color="000000"/>
            </w:tcBorders>
          </w:tcPr>
          <w:p w14:paraId="57A79236" w14:textId="77777777" w:rsidR="00165DB9" w:rsidRPr="002C7F14" w:rsidRDefault="00165DB9" w:rsidP="00165DB9">
            <w:pPr>
              <w:pStyle w:val="TableParagraph"/>
              <w:spacing w:line="264" w:lineRule="auto"/>
              <w:ind w:left="0" w:right="86"/>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40</w:t>
            </w:r>
          </w:p>
        </w:tc>
      </w:tr>
      <w:tr w:rsidR="00165DB9" w:rsidRPr="002C7F14" w14:paraId="64C163A2" w14:textId="77777777" w:rsidTr="00165DB9">
        <w:trPr>
          <w:trHeight w:val="20"/>
          <w:jc w:val="center"/>
        </w:trPr>
        <w:tc>
          <w:tcPr>
            <w:tcW w:w="2765" w:type="dxa"/>
            <w:tcBorders>
              <w:left w:val="single" w:sz="8" w:space="0" w:color="000000"/>
            </w:tcBorders>
          </w:tcPr>
          <w:p w14:paraId="049F3A48"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30-39</w:t>
            </w:r>
          </w:p>
        </w:tc>
        <w:tc>
          <w:tcPr>
            <w:tcW w:w="2765" w:type="dxa"/>
            <w:tcBorders>
              <w:right w:val="single" w:sz="8" w:space="0" w:color="000000"/>
            </w:tcBorders>
          </w:tcPr>
          <w:p w14:paraId="6B8B9433" w14:textId="77777777" w:rsidR="00165DB9" w:rsidRPr="002C7F14" w:rsidRDefault="00165DB9" w:rsidP="00165DB9">
            <w:pPr>
              <w:pStyle w:val="TableParagraph"/>
              <w:spacing w:line="264" w:lineRule="auto"/>
              <w:ind w:left="0" w:right="86"/>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30</w:t>
            </w:r>
          </w:p>
        </w:tc>
      </w:tr>
      <w:tr w:rsidR="00165DB9" w:rsidRPr="002C7F14" w14:paraId="0BE87B5C" w14:textId="77777777" w:rsidTr="00165DB9">
        <w:trPr>
          <w:trHeight w:val="20"/>
          <w:jc w:val="center"/>
        </w:trPr>
        <w:tc>
          <w:tcPr>
            <w:tcW w:w="2765" w:type="dxa"/>
            <w:tcBorders>
              <w:left w:val="single" w:sz="8" w:space="0" w:color="000000"/>
            </w:tcBorders>
          </w:tcPr>
          <w:p w14:paraId="6A182879"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25-29</w:t>
            </w:r>
          </w:p>
        </w:tc>
        <w:tc>
          <w:tcPr>
            <w:tcW w:w="2765" w:type="dxa"/>
            <w:tcBorders>
              <w:right w:val="single" w:sz="8" w:space="0" w:color="000000"/>
            </w:tcBorders>
          </w:tcPr>
          <w:p w14:paraId="3BD59601" w14:textId="77777777" w:rsidR="00165DB9" w:rsidRPr="002C7F14" w:rsidRDefault="00165DB9" w:rsidP="00165DB9">
            <w:pPr>
              <w:pStyle w:val="TableParagraph"/>
              <w:spacing w:line="264" w:lineRule="auto"/>
              <w:ind w:left="0" w:right="86"/>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25</w:t>
            </w:r>
          </w:p>
        </w:tc>
      </w:tr>
      <w:tr w:rsidR="00165DB9" w:rsidRPr="002C7F14" w14:paraId="2BD86AFD" w14:textId="77777777" w:rsidTr="00165DB9">
        <w:trPr>
          <w:trHeight w:val="20"/>
          <w:jc w:val="center"/>
        </w:trPr>
        <w:tc>
          <w:tcPr>
            <w:tcW w:w="2765" w:type="dxa"/>
            <w:tcBorders>
              <w:left w:val="single" w:sz="8" w:space="0" w:color="000000"/>
            </w:tcBorders>
          </w:tcPr>
          <w:p w14:paraId="70D12779"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20-24</w:t>
            </w:r>
          </w:p>
        </w:tc>
        <w:tc>
          <w:tcPr>
            <w:tcW w:w="2765" w:type="dxa"/>
            <w:tcBorders>
              <w:right w:val="single" w:sz="8" w:space="0" w:color="000000"/>
            </w:tcBorders>
          </w:tcPr>
          <w:p w14:paraId="22E44FDC" w14:textId="77777777" w:rsidR="00165DB9" w:rsidRPr="002C7F14" w:rsidRDefault="00165DB9" w:rsidP="00165DB9">
            <w:pPr>
              <w:pStyle w:val="TableParagraph"/>
              <w:spacing w:line="264" w:lineRule="auto"/>
              <w:ind w:left="0" w:right="86"/>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20</w:t>
            </w:r>
          </w:p>
        </w:tc>
      </w:tr>
      <w:tr w:rsidR="00165DB9" w:rsidRPr="002C7F14" w14:paraId="7B4D65A7" w14:textId="77777777" w:rsidTr="00165DB9">
        <w:trPr>
          <w:trHeight w:val="20"/>
          <w:jc w:val="center"/>
        </w:trPr>
        <w:tc>
          <w:tcPr>
            <w:tcW w:w="2765" w:type="dxa"/>
            <w:tcBorders>
              <w:left w:val="single" w:sz="8" w:space="0" w:color="000000"/>
            </w:tcBorders>
          </w:tcPr>
          <w:p w14:paraId="288D2B00"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15-19</w:t>
            </w:r>
          </w:p>
        </w:tc>
        <w:tc>
          <w:tcPr>
            <w:tcW w:w="2765" w:type="dxa"/>
            <w:tcBorders>
              <w:right w:val="single" w:sz="8" w:space="0" w:color="000000"/>
            </w:tcBorders>
          </w:tcPr>
          <w:p w14:paraId="4AB77697" w14:textId="77777777" w:rsidR="00165DB9" w:rsidRPr="002C7F14" w:rsidRDefault="00165DB9" w:rsidP="00165DB9">
            <w:pPr>
              <w:pStyle w:val="TableParagraph"/>
              <w:spacing w:line="264" w:lineRule="auto"/>
              <w:ind w:left="0" w:right="86"/>
              <w:jc w:val="right"/>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15</w:t>
            </w:r>
          </w:p>
        </w:tc>
      </w:tr>
      <w:tr w:rsidR="00165DB9" w:rsidRPr="002C7F14" w14:paraId="59461A06" w14:textId="77777777" w:rsidTr="00165DB9">
        <w:trPr>
          <w:trHeight w:val="20"/>
          <w:jc w:val="center"/>
        </w:trPr>
        <w:tc>
          <w:tcPr>
            <w:tcW w:w="2765" w:type="dxa"/>
            <w:tcBorders>
              <w:left w:val="single" w:sz="8" w:space="0" w:color="000000"/>
              <w:bottom w:val="single" w:sz="8" w:space="0" w:color="000000"/>
            </w:tcBorders>
          </w:tcPr>
          <w:p w14:paraId="6341BFF6"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2-14</w:t>
            </w:r>
          </w:p>
        </w:tc>
        <w:tc>
          <w:tcPr>
            <w:tcW w:w="2765" w:type="dxa"/>
            <w:tcBorders>
              <w:bottom w:val="single" w:sz="8" w:space="0" w:color="000000"/>
              <w:right w:val="single" w:sz="8" w:space="0" w:color="000000"/>
            </w:tcBorders>
          </w:tcPr>
          <w:p w14:paraId="6C6E29CA" w14:textId="77777777" w:rsidR="00165DB9" w:rsidRPr="002C7F14" w:rsidRDefault="00165DB9" w:rsidP="00165DB9">
            <w:pPr>
              <w:pStyle w:val="TableParagraph"/>
              <w:spacing w:line="264" w:lineRule="auto"/>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결정된 SPF 값</w:t>
            </w:r>
          </w:p>
        </w:tc>
      </w:tr>
    </w:tbl>
    <w:p w14:paraId="0D0FE757" w14:textId="362A9E44"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560326FD" w14:textId="77777777" w:rsidR="00165DB9" w:rsidRPr="002C7F14" w:rsidRDefault="00165DB9" w:rsidP="008E4E2D">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 PDP 라벨링 요구사항</w:t>
      </w:r>
    </w:p>
    <w:p w14:paraId="51FB8D1A" w14:textId="77777777"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자외선차단제 모노그래프 제품의 주요 표시 패널(PDP)에 대한 일부 개정사항을 제안하고 있다(PDP는 제품이 소매를 위해 전시될 때 가장 눈에 잘 띄는 OTC 의약품 라벨의 일부이다(연방규정 제21편 제201.60조)). 제201부(연방규정 제21편 제201부)에 제시된 일반적인 OTC 의약품 라벨링 요구사항을 충족하는 것 외에도, 자외선차단제의 PDP는 최종간주명령의 § M020.50에 명시된 특정 라벨링 요구사항을 충족해야 한다. 제품식별명을 다루는 요구사항을 비롯하여 자외선차단제 PDP 라벨링 요구사항을 개정할 것을 제안하고 있다. 피부보호제도 함유한 제품의 제품식별명에 대해서도 이와 유사한 변경사항 조화를 제안하고 있다. 이러한 제안은 PDP에 추가 정보를 제공하는 한편 용기 또는 포장의 전면에 표시해야 할 정보를 눈에 잘 띄게 하고 읽기 쉽게 하여 소비자가 자외선차단제를 더 잘 이해하고 평가하며 비교할 수 있도록 돕기 위한 것이다.</w:t>
      </w:r>
    </w:p>
    <w:p w14:paraId="1C06703F" w14:textId="3E0CD6B0"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0D94E174" w14:textId="6D3CF1FB" w:rsidR="00165DB9" w:rsidRPr="002C7F14" w:rsidRDefault="00165DB9" w:rsidP="00165DB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최종간주명령의 § M020.50(b)에 의해 PDP에 표시해야 할 SOI를 개정할 것을 제안하고 있으며, 이 명령안에 따라 SOI는 PDP의 일부로 남게 된다. 현재 최종간주명령에 따른 자외선차단제의 SOI는 "있는 경우, 의약품의 성분명"을 포함하며, 제품을 "자외선차단제"로 식별한다. 이 명령안의 § MO20.50(a)(1)(i)에 있는 개정된 SOI는 모든 활성성분의 성분명을 알파벳순으로 열거한 후 "자외선차단제" 및 제품의 투여 형태(로션, 스프레이 등)를 기재하는 형태로 구성한다. 자외선차단제의 SOI에 대한 이러한 제안을 고려하여, 자외선차단제 모노그래프(제안된 § M020.60) 및 피부보호제 모노그래프(제안된 § M016.60) 둘 다에서 자외선차단제 및 피부보호제 활성성분을 모두 함유한 제품에 대한 SOI를 다루는 유사한 조항을 제안하고 있다. 자외선차단제 활성성분 및 피부보호제 활성성분을 모두 함유한 제품에 적용되는 모노그래프 조건에 대한 추가 제안은 이 문서의 섹션 VI.E.vi.1에 설명되어 있다.</w:t>
      </w:r>
    </w:p>
    <w:p w14:paraId="5D3ABFB3" w14:textId="31D92E10"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049241FB" w14:textId="77777777"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모든 활성성분을 SOI의 일부로 열거하자는 제안은 일반적으로 다른 OTC 및 처방 의약품의 SOI 라벨링과 일치한다. 제품의 활성성분 및 투여 형태에 대한 정보를 제공하는 것은 PDP의 다른 중요 요소(SPF, 광범위 스펙트럼 및 내수성 정보)를 보완하여 포장 또는 용기 전면에 제품의 주요 특성에 대한 간략한 요약을 제공한다. 이러한 접근방식을 통해 소비자가 다양한 제품을 더 쉽게 비교하고 이에 따라 특정 제품을 선택하거나 피할 수 있을 것으로 기대한다. 소비자가 자외선차단제의 활성성분에 대한 정보를 중요하게 여긴다는 것을 보여주는 예로, Amazon.com에서 최고 평점을 받은 자외선차단제 제품 리뷰를 분석한 결과 제품 성분은 답변의 17%에서 긍정적인 요인으로, 답변의 10%에서 부정적인 요인으로 제시된 것으로 나타났다(Xu외 공저 2016년).</w:t>
      </w:r>
    </w:p>
    <w:p w14:paraId="79F9EFAE" w14:textId="77777777"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046CDA94" w14:textId="77777777"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시판된 자외선차단제 라벨을 검토한 결과, FDA는 현재 PDP에 다른 인쇄 정보 또는 그래픽 정보가 포함되고 눈에 잘 뛰어 SOI를 가릴 수 있다고 우려하고 있다. 이러한 이유로 PDP에서 가장 눈에 잘 띄는 인쇄물의 최소 1/4 크기의 굵은 글꼴로 가장 눈에 잘 띄는 상품명 표시와 직접 연결하여 SOI를 표시하고 해당 텍스트가 일반적으로 포장의 바닥과 평행이 되도록 요구하는 것을 제안한다. 동일한 배경색을 적용하여 동일한 글꼴, 크기 및 색상으로 전체 SOI를 표시하고, 해당되는 경우 피부보호제도 함유된 제품에 대한 SOI 요구사항에 따라 제공된 텍스트 외에 다른 텍스트 또는 그래픽 없이 연속된 텍스트로 표시할 것을 제안한다. 이러한 요구사항은 연방규정 제21편 제201.60조 및 제201.61조에 성문화된 모든 비처방 제품에 대한 PDP 및 SOI 관련 일반 요구사항을 보완하는 것이지 대체하는 것이 아니다.</w:t>
      </w:r>
    </w:p>
    <w:p w14:paraId="5F0A16B0" w14:textId="77777777"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50807CB4" w14:textId="77777777"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21153D40" w14:textId="5B90790B"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이 명령안의 섹션 M020.50은 최종간주명령의 § M020.50(a)에 설명된 대로 이미 PDP에 표시해야 하는 "광범위 스펙트럼 SPF", "SPF" 및 "내수성" 문구를 통합한다. 또한 SPF 값이 15 미만인 모든 제품의 경우 SPF 문구 뒤에 별표(*)를 붙여 소비자가 "*피부암/피부 노화 경고" 문구를 확인하도록 안내해야 한다고 제안한다. 인용된 문구는 PDP의 하단 30%에 표시해야 한다고 제안한다. 일부 자외선차단제 소비자가 현재 위치에서 이 정보를 읽지 않는다는 증거가 있기 때문에(Chao외 공저 2017년; Kong외 공저 2015년), 이 문구는 라벨의 의약품 사실정보에 있는 "경고"의 일부로 이러한 제품에 대해 계속 요구될 피부암/피부 노화 경고(이 명령안의 § M020.52(b) 및 최종간주명령의 § M020.50(d))로 소비자의 주의를 환기하기 위한 것이다. </w:t>
      </w:r>
    </w:p>
    <w:p w14:paraId="46DB7586" w14:textId="77777777"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5FCF5545" w14:textId="1E88C93A"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최종간주명령에 따라 해당되는 경우에 따라 "광범위 스펙트럼 SPF" 또는 "SPF" 문구 전체는 자외선차단제의 PDP에 동일한 글꼴, 크기 및 색상으로 동일한 배경색을 적용하여 표시해야 하며, "광범위 스펙트럼 SPF" 문구를 사용하는 경우 이 문구는 중간에 삽입된 텍스트 또는 그래픽 없이 연속된 텍스트로 표시해야 한다. 소비자가 자외선차단제를 평가하고 비교하는데 중요한 정보가 한층 눈에 잘 띄고 읽기 쉽도록 하기 위해, 이러한 요구사항을 유지하며, 이러한 문구를 PDP에서 가장 눈에 잘 띄는 인쇄물의 최소 1/4 크기의 굵은 글꼴로 표시하고 해당 텍스트가 일반적으로 포장 바닥과 평행이 되도록 해야 한다고 규정할 것을 제안한다.</w:t>
      </w:r>
    </w:p>
    <w:p w14:paraId="30072085" w14:textId="77777777"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1C7749BD" w14:textId="77777777"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제안된 새로운 "*피부암/피부 노화 경고" 문구도 PDP에서 가장 눈에 잘 띄는 인쇄물의 최소 1/4 크기의 굵은 글꼴로 표시하고 해당 텍스트가 일반적으로 포장 바닥과 평행이 되도록 해야 한다. 또한 전체 문구는 동일한 글꼴, 크기 및 색상으로 동일한 배경색을 적용하여 중간에 삽입된 텍스트 또는 그래픽 없이 연속된 텍스트로 표시한다. </w:t>
      </w:r>
    </w:p>
    <w:p w14:paraId="27548CB6" w14:textId="77777777" w:rsidR="00165DB9" w:rsidRPr="002C7F14" w:rsidRDefault="00165DB9" w:rsidP="00165DB9">
      <w:pPr>
        <w:spacing w:line="264" w:lineRule="auto"/>
        <w:jc w:val="both"/>
        <w:rPr>
          <w:rFonts w:asciiTheme="minorEastAsia" w:eastAsiaTheme="minorEastAsia" w:hAnsiTheme="minorEastAsia" w:cs="맑은 고딕"/>
          <w:sz w:val="20"/>
          <w:szCs w:val="20"/>
          <w:lang w:eastAsia="ko-KR"/>
        </w:rPr>
      </w:pPr>
    </w:p>
    <w:p w14:paraId="10EC3CA7" w14:textId="71A6ECAB" w:rsidR="00165DB9" w:rsidRPr="002C7F14" w:rsidRDefault="00165DB9" w:rsidP="00165DB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마지막으로, 내수성도 소비자가 자외선차단제를 선택할 때 중요성 특성이기 때문에, "내수성" 문구에도 유사한 형식 요구사항을 적용할 것을 제안한다. 이 문구도 PDP에서 가장 눈에 잘 띄는 인쇄물의 최소 1/4 크기의 굵은 글꼴로 표시하고 해당 텍스트가 일반적으로 포장 바닥과 평행이 되도록 해야 한다. 또한 전체 문구는 동일한 글꼴, 크기 및 색상으로 동일한 배경색을 적용하여 중간에 삽입된 텍스트 또는 그래픽 없이 연속된 텍스트로 표시한다(제안된 § M020.50(a)(3) 참조).</w:t>
      </w:r>
    </w:p>
    <w:p w14:paraId="59D551C4" w14:textId="67AE9F72"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12DF0B88" w14:textId="77777777" w:rsidR="00165DB9" w:rsidRPr="002C7F14" w:rsidRDefault="00165DB9" w:rsidP="008E4E2D">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최종 제형 시험 및 기록 보관에 대해 제안된 요구사항</w:t>
      </w:r>
    </w:p>
    <w:p w14:paraId="3127D10D" w14:textId="11CA22B9" w:rsidR="00165DB9" w:rsidRPr="002C7F14" w:rsidRDefault="00165DB9" w:rsidP="00165DB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(1) 시판될 자외선차단제 제형의 효능 시험이 피험자를 보호하고 신뢰할 수 있는 결과를 생성하는 방식으로 수행되도록 보장하고, (2) FDA가 향후 최종 모노그래프 조건의 준수 여부를 평가할 수 있도록 하기 위한 여러 조항을 제안하고 있다.</w:t>
      </w:r>
    </w:p>
    <w:p w14:paraId="0B247FFA" w14:textId="124E4236" w:rsidR="00165DB9" w:rsidRPr="002C7F14" w:rsidRDefault="00165DB9" w:rsidP="00EF791F">
      <w:pPr>
        <w:spacing w:line="264" w:lineRule="auto"/>
        <w:jc w:val="both"/>
        <w:rPr>
          <w:rFonts w:asciiTheme="minorEastAsia" w:eastAsiaTheme="minorEastAsia" w:hAnsiTheme="minorEastAsia" w:cs="맑은 고딕"/>
          <w:sz w:val="20"/>
          <w:szCs w:val="20"/>
          <w:lang w:eastAsia="ko-KR"/>
        </w:rPr>
      </w:pPr>
    </w:p>
    <w:p w14:paraId="5F4EC16B" w14:textId="2662D2D8"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5935BE80" w14:textId="2F6FC668" w:rsidR="00B07B6F" w:rsidRPr="002C7F14" w:rsidRDefault="00B07B6F" w:rsidP="008E4E2D">
      <w:pPr>
        <w:pStyle w:val="a8"/>
        <w:numPr>
          <w:ilvl w:val="0"/>
          <w:numId w:val="26"/>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최종 제형 시험에 대한 일반적인 접근방식</w:t>
      </w:r>
    </w:p>
    <w:p w14:paraId="383F738C" w14:textId="50ECD630" w:rsidR="00165DB9" w:rsidRPr="002C7F14" w:rsidRDefault="00B07B6F" w:rsidP="00B07B6F">
      <w:pPr>
        <w:pStyle w:val="a9"/>
        <w:spacing w:line="264" w:lineRule="auto"/>
        <w:ind w:firstLine="720"/>
        <w:jc w:val="both"/>
        <w:rPr>
          <w:rFonts w:asciiTheme="minorEastAsia" w:eastAsiaTheme="minorEastAsia" w:hAnsiTheme="minorEastAsia" w:cs="맑은 고딕"/>
          <w:sz w:val="18"/>
          <w:szCs w:val="20"/>
          <w:lang w:eastAsia="ko-KR"/>
        </w:rPr>
      </w:pPr>
      <w:r w:rsidRPr="002C7F14">
        <w:rPr>
          <w:rFonts w:asciiTheme="minorEastAsia" w:eastAsiaTheme="minorEastAsia" w:hAnsiTheme="minorEastAsia" w:hint="eastAsia"/>
          <w:sz w:val="20"/>
          <w:lang w:eastAsia="ko-KR"/>
        </w:rPr>
        <w:t>최종간주명령은 현재 자외선차단제 라벨에 표시되는 SPF 값, 내수성 문구 및 광범위 스펙트럼 문구를 뒷받침하기 위해 요구되는 최종 제형 시험을 수행하기 위한 기술 지침을 포함한다. 그러나 최종간주명령은 SPF 및 내수성 시험에서 피험자 보호를 검증 가능하게 제공하는 방식으로 최종 제형 시험이 수행되고 문서화되도록 보장하고 모노그래프 조건에 따라 시판의 기초가 되는 모든 시험 데이터의 신뢰성을 보장하는 데 필수적인 광범위한 중요 고려사항을 명시적으로 다루지 않는다. 최종 제형 시험을 수행하는 책임자는 이미 현행 시험 프로그램에서 모범 실무를 따라야 할 것으로 예상한다. 그러나 많은 주체가 이러한 관행을 일관되게 준수하지 않고/않거나 최종간주명령에 명시된 최종 제형 시험 절차의 준수를 문서화하는 데 필요한 기록을 유지하지 못할 수 있다고 우려한다. NDA 없이 시판되는 비처방 자외선차단제에 대한 운영 요구사항에 따라 시험을 검증하기 위해 검사 및 기타 조치를 수행한 FDA의 경험은 이러한 영역에 잠재적인 문제가 있음을 시사한다. 제한적이기는 하지만 이러한 경험은 모노그래프에 명시된 사용 조건에 따라 자외선차단제가 안전하고 효과적이도록 보장하는 공중보건의 중요성 및 자외선차단제를 시장에 출시하는 데 관여할 수 있는 광범위한 주체들을 고려할 때 FDA의 기대를 더욱 명확히 설명하는 것이 필요하다는 본 기관의 판단을 강화한다. 따라서 FDA의 현재 기대사항을 보다 명확하게 명령안에 통합시킬 것을 제안하고 있다. 제안된 조항들은 피험자를 대상으로 수행되는 효능 시험에 대한 현행 모범 실무와 대체로 일치하며, 평판이 좋고 경험이 풍부한 기관에게 상당한 변경사항을 요구할 것으로 예상하지 않는다. 제안에서 다루는 주요 우려사항은 다음과 같다.</w:t>
      </w:r>
    </w:p>
    <w:p w14:paraId="31E2CC74" w14:textId="64CA391B"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163B3D1A" w14:textId="77777777" w:rsidR="00B07B6F" w:rsidRPr="002C7F14" w:rsidRDefault="00B07B6F" w:rsidP="008E4E2D">
      <w:pPr>
        <w:pStyle w:val="30"/>
        <w:keepNext w:val="0"/>
        <w:numPr>
          <w:ilvl w:val="0"/>
          <w:numId w:val="27"/>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피험자 보호 및 임상 최종 제형 시험에 대한 감독</w:t>
      </w:r>
    </w:p>
    <w:p w14:paraId="3CFDBF23" w14:textId="79A3D267" w:rsidR="00B37AB0" w:rsidRPr="002C7F14" w:rsidRDefault="00B07B6F" w:rsidP="00B07B6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임상 최종 제형 시험이 신뢰할 수 있는 결과를 도출할 수 있는 방식으로 설계되고 수행되도록 보장하는 것은 매우 중요하며, SPF 및 내수성 시험의 대상이 되는 피험자를 보호하는 것도 마찬가지로 중요하다. 최종간주명령의 § M020.80에 명시된 SPF 시험의 기존 조항은 고지에 입각한 동의를 받아야 한다고 요구하지만 이 동의에 무엇을 포함해야 하는지 또는 임상 최종 제형 시험을 어떻게 감독해야 하는지에 대해서는 달리 명시하지 않는다. 여러 분야에서 피험자를 포함하는 시험은 통상적으로 고지에 입각한 동의 및 기타 피험자 보호가 제공되도록 보장하고 연구 설계 및 실행의 무결성을 보장하는 수단으로 임상시험심사위원회(IRB)의 감독 하에 수행된다. FDA도 마찬가지로 많은 기관이 이미 SPF 및 내수성 시험에 대해 일상적으로 IRB 심사를 받고 있다고 예상한다.</w:t>
      </w:r>
    </w:p>
    <w:p w14:paraId="5BECF7F6" w14:textId="77777777" w:rsidR="00B37AB0" w:rsidRPr="002C7F14" w:rsidRDefault="00B37AB0" w:rsidP="00EF791F">
      <w:pPr>
        <w:spacing w:line="264" w:lineRule="auto"/>
        <w:jc w:val="both"/>
        <w:rPr>
          <w:rFonts w:asciiTheme="minorEastAsia" w:eastAsiaTheme="minorEastAsia" w:hAnsiTheme="minorEastAsia" w:cs="맑은 고딕"/>
          <w:sz w:val="20"/>
          <w:szCs w:val="20"/>
          <w:lang w:eastAsia="ko-KR"/>
        </w:rPr>
      </w:pPr>
    </w:p>
    <w:p w14:paraId="3541EC50" w14:textId="2D9E8C81" w:rsidR="00B07B6F" w:rsidRPr="002C7F14" w:rsidRDefault="00B07B6F" w:rsidP="00B07B6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그럼에도 불구하고, NDA없이 시판된 비처방 자외선차단제에 대한 현행 요구사항에 따른 최종 제형 시험의 신뢰성을 검증하기 위한 검사 및 기타 조치를 수행한 FDA의 경험은 현재 관행에 대한 몇 가지 의문을 제기했다. 예를 들어, FDA의 관찰은 최종 제형 시험을 수행하는 기관이 시험 품목에 대한 홍반 반응을 구별하는 능력을 손상시키고 피험자 보호에 대한 기타 문제를 제기할 수 있는 빈도로 피험자가 시험에 반복적으로 참여하지 않도록 보장하기 위해 프로토콜 및 IRB 감독을 도입했는지 여부 및 그 방법에 대한 의문을 제기했다. IRB 감독과 관련된 명시적 요구사항 부족과 NDA 없이 시판된 비처방 자외선차단제에 대한 현행 라벨링 및 시험 요구사항 중 고지에 입각한 동의 요구사항의 피상적인 특성은 SPF 시험 수행 과정에서 결과의 신뢰성을 저해하는 일관성 없는 관행으로 이어질 수 있다는 점을 우려한다. 무엇보다 IRB 심사는 고지에 입각한 동의의 적절성을 검증하고 (피험자를 보호하는 동시에 결과의 정확성을 보장하기 위해) 연구 프로토콜에 피험자 선택을 위한 적절한 포함/제외 기준이 통합되도록 보장하는 데 중요하다.</w:t>
      </w:r>
      <w:r w:rsidR="00E723DF" w:rsidRPr="002C7F14">
        <w:rPr>
          <w:rFonts w:asciiTheme="minorEastAsia" w:eastAsiaTheme="minorEastAsia" w:hAnsiTheme="minorEastAsia" w:hint="eastAsia"/>
          <w:sz w:val="20"/>
          <w:szCs w:val="20"/>
          <w:lang w:eastAsia="ko-KR"/>
        </w:rPr>
        <w:t xml:space="preserve"> </w:t>
      </w:r>
    </w:p>
    <w:p w14:paraId="1BC6EA49" w14:textId="3916A28D" w:rsidR="002C531C" w:rsidRPr="002C7F14" w:rsidRDefault="002C531C" w:rsidP="00EF791F">
      <w:pPr>
        <w:spacing w:line="264" w:lineRule="auto"/>
        <w:jc w:val="both"/>
        <w:rPr>
          <w:rFonts w:asciiTheme="minorEastAsia" w:eastAsiaTheme="minorEastAsia" w:hAnsiTheme="minorEastAsia" w:cs="맑은 고딕"/>
          <w:sz w:val="20"/>
          <w:szCs w:val="20"/>
          <w:lang w:eastAsia="ko-KR"/>
        </w:rPr>
      </w:pPr>
    </w:p>
    <w:p w14:paraId="3466BF42" w14:textId="039FB2E3" w:rsidR="002C531C" w:rsidRPr="002C7F14" w:rsidRDefault="00B07B6F" w:rsidP="008E4E2D">
      <w:pPr>
        <w:pStyle w:val="30"/>
        <w:keepNext w:val="0"/>
        <w:numPr>
          <w:ilvl w:val="0"/>
          <w:numId w:val="27"/>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연구 인력의 자격</w:t>
      </w:r>
    </w:p>
    <w:p w14:paraId="547003F4" w14:textId="563B6740" w:rsidR="00A9131F" w:rsidRPr="002C7F14" w:rsidRDefault="00B07B6F" w:rsidP="00B07B6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일부 경우에는 검사 시 연구의 모든 측면이 적절한 자격을 갖춘 인력에 의해 수행되었는지 명확하지 않을 수 있다. 예를 들어, FDA는 적절한 교육을 받은 의료전문가(예: 간호사 또는 피부과전문의)가 아닌 기술자가 잠재적 모반, 점 또는 기타 피부 병변에 대한 신체 검사를 수행하는 것이 적절하다고 판단하지 않는다. 라벨링 및 시판을 뒷받침하기 위해 수행되는 모든 임상 및 비임상 시험과 마찬가지로 적절한 교육을 받고 적절한 자격을 갖춘 인력을 사용하는 것은 시험 결과의 신뢰성 및 정확성을 보장하는 데 필수적이다. 또한 FDA가 모노그래프 조건의 준수 여부를 평가할 수 있도록 인력의 자격 및 교육에 대한 문서화도 필요하다.</w:t>
      </w:r>
    </w:p>
    <w:p w14:paraId="0DAD3536" w14:textId="77777777" w:rsidR="00A9131F" w:rsidRPr="002C7F14" w:rsidRDefault="00A9131F" w:rsidP="00EF791F">
      <w:pPr>
        <w:spacing w:line="264" w:lineRule="auto"/>
        <w:jc w:val="both"/>
        <w:rPr>
          <w:rFonts w:asciiTheme="minorEastAsia" w:eastAsiaTheme="minorEastAsia" w:hAnsiTheme="minorEastAsia" w:cs="맑은 고딕"/>
          <w:sz w:val="20"/>
          <w:szCs w:val="20"/>
          <w:lang w:eastAsia="ko-KR"/>
        </w:rPr>
      </w:pPr>
    </w:p>
    <w:p w14:paraId="605CD47B" w14:textId="77777777" w:rsidR="00B07B6F" w:rsidRPr="002C7F14" w:rsidRDefault="00B07B6F" w:rsidP="008E4E2D">
      <w:pPr>
        <w:pStyle w:val="30"/>
        <w:keepNext w:val="0"/>
        <w:numPr>
          <w:ilvl w:val="0"/>
          <w:numId w:val="27"/>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장비 유지관리, 연구 방법 및 관찰에 대한 문서화</w:t>
      </w:r>
    </w:p>
    <w:p w14:paraId="11EA16D2" w14:textId="64504D1F" w:rsidR="004E3AE2" w:rsidRPr="002C7F14" w:rsidRDefault="00B07B6F" w:rsidP="00B07B6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시험 장비, 방법 및 관찰에 대한 적절한 기록을 유지하지 못하면 최종 제형 시험의 신뢰성에 대한 광범위한 의문이 제기될 수 있다. 연방관보 제21편 제201.327조(현재 최종간주명령에 통합됨)가 공포된 이후, 최종 제형 시험 관련 기록 보관에 대한 시험기관의 접근방식에 일관성이 부족하여 기록 보관 절차의 적절성에 대한 우려가 제기되었다. 시험기관이 최종 제형 시험을 뒷받침하기 위한 적절한 기록을 유지하지 못하면 FDA가 SPF 및 내수성 시험 보고서에 제공된 UV 조사량이 정확하고 유효한지를 검증하지 못할 수 있다. 이는 방출 스펙트럼, 홍반 유효 방사선 기여율, 태양광 시뮬레이터 구성요소 및 UV 측정기/조사량 컨트롤러 시스템의 변경사항에 대해서도 마찬가지이다. 한 시험기관에서 장비를 정확하게 교정하고 유지관리하지 못하면 여러 임상 SPF 시험 연구 데이터 및/또는 궁극적으로 서로 다른 라벨로 판매되는 다양한 여러 최종 제형에 대한 광범위 스펙트럼 시험 데이터에 영향을 미칠 수 있다. 이러한 우려사항을 해결하고 다음 섹션에서 자세히 설명하는 개정된 시판 조건을 통해 자외선차단제에 대한 OTC 모노그래프를 기존 기대치에 맞게 조정할 것을 제안한다.</w:t>
      </w:r>
    </w:p>
    <w:p w14:paraId="6F50F2FD" w14:textId="77777777" w:rsidR="00281CC2" w:rsidRPr="002C7F14" w:rsidRDefault="00281CC2" w:rsidP="00EF791F">
      <w:pPr>
        <w:spacing w:line="264" w:lineRule="auto"/>
        <w:jc w:val="both"/>
        <w:rPr>
          <w:rFonts w:asciiTheme="minorEastAsia" w:eastAsiaTheme="minorEastAsia" w:hAnsiTheme="minorEastAsia" w:cs="맑은 고딕"/>
          <w:sz w:val="20"/>
          <w:szCs w:val="20"/>
          <w:lang w:eastAsia="ko-KR"/>
        </w:rPr>
      </w:pPr>
    </w:p>
    <w:p w14:paraId="1A2FA363" w14:textId="480008AF" w:rsidR="00B07B6F" w:rsidRPr="002C7F14" w:rsidRDefault="00B07B6F" w:rsidP="008E4E2D">
      <w:pPr>
        <w:pStyle w:val="a8"/>
        <w:numPr>
          <w:ilvl w:val="0"/>
          <w:numId w:val="26"/>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구체적인 제안</w:t>
      </w:r>
    </w:p>
    <w:p w14:paraId="4F800693" w14:textId="73F9D4DB" w:rsidR="00B07B6F" w:rsidRPr="002C7F14" w:rsidRDefault="00B07B6F"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모범 실무를 준수하지 않을 경우의 결과</w:t>
      </w:r>
    </w:p>
    <w:p w14:paraId="0F344286" w14:textId="0455A7E5" w:rsidR="00B07B6F" w:rsidRPr="002C7F14" w:rsidRDefault="00B07B6F" w:rsidP="00B07B6F">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규칙안의 모든 관련 조항을 준수하여 시험을 수행하지 않는 한 FDA는 라벨이 자외선차단제의 특성을 신뢰할 수 있게 반영한다는 충분한 확신을 가질 수 없다. 따라서 최종 제형 시험이 이러한 조건에 따라 적절하게 수행되지 않는 경우, 이러한 시험에 기초한 SPF 값, 내수성 또는 광범위 스펙트럼 특성으로 자외선차단제를 라벨링하는 것은 라벨이 제품의 특성을 신뢰성 있게 표시한다고 소비자에게 잘못 알리는 것이며, 이는 제품 간 비교에 사용할 수 있는 표준화된 자외선차단제 라벨링 시스템과도 일치해야 한다. 이러한 조항이 확정되면,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이러한 조건을 준수하지 않는 경우 FD&amp;C법 제502(ee)조(미국법전 제21편 제352(ee)조)에 따라 부정 표시 의약품 및 비허가 신약으로 간주되어 규제 조치가 적용된다.</w:t>
      </w:r>
    </w:p>
    <w:p w14:paraId="1913ABAF" w14:textId="22AE247B"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1A92AF12" w14:textId="77777777" w:rsidR="00AA3979" w:rsidRPr="002C7F14" w:rsidRDefault="00AA3979"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책임자의 일반 의무</w:t>
      </w:r>
    </w:p>
    <w:p w14:paraId="0DBA363D" w14:textId="08530EFA" w:rsidR="00B07B6F" w:rsidRPr="002C7F14" w:rsidRDefault="00AA3979" w:rsidP="00AA39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일반적으로 비처방 자외선 차단 의약품의 제조, 시험 및 라벨링에 여러 주체가 관여하는 다양한 사업 관계가 사용된다는 것을 알고 있다. 적절한 최종 제형 시험 절차가 마련되어 있도록 보장할 책임 소재를 명확히 하고 최종 제형 시험과 관련된 기록 보관에 대한 책임을 분명히 하기 위해 FDA는 새로 정의된 용어인 </w:t>
      </w:r>
      <w:r w:rsidRPr="002C7F14">
        <w:rPr>
          <w:rFonts w:asciiTheme="minorEastAsia" w:eastAsiaTheme="minorEastAsia" w:hAnsiTheme="minorEastAsia" w:hint="eastAsia"/>
          <w:i/>
          <w:iCs/>
          <w:sz w:val="20"/>
          <w:szCs w:val="20"/>
          <w:lang w:eastAsia="ko-KR"/>
        </w:rPr>
        <w:t>책임자</w:t>
      </w:r>
      <w:r w:rsidRPr="002C7F14">
        <w:rPr>
          <w:rFonts w:asciiTheme="minorEastAsia" w:eastAsiaTheme="minorEastAsia" w:hAnsiTheme="minorEastAsia" w:hint="eastAsia"/>
          <w:sz w:val="20"/>
          <w:szCs w:val="20"/>
          <w:lang w:eastAsia="ko-KR"/>
        </w:rPr>
        <w:t>를 제안한다.</w:t>
      </w:r>
    </w:p>
    <w:p w14:paraId="3AE2C1F5" w14:textId="2837A29B"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7965DC89" w14:textId="03F6B179" w:rsidR="00B07B6F" w:rsidRPr="002C7F14" w:rsidRDefault="00AA3979" w:rsidP="00AA39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다른 OTC 의약품에 대한 FDA의 규제 책임 처리에 부합하고 FD&amp;C법 제760(b)(1)조(미국법전 제21편 제379aa(b)(1)조)에 명시된 OTC 의약품에 대한 이상사례 보고 요구사항과 일치하는 방식으로 </w:t>
      </w:r>
      <w:r w:rsidRPr="002C7F14">
        <w:rPr>
          <w:rFonts w:asciiTheme="minorEastAsia" w:eastAsiaTheme="minorEastAsia" w:hAnsiTheme="minorEastAsia" w:hint="eastAsia"/>
          <w:i/>
          <w:iCs/>
          <w:sz w:val="20"/>
          <w:szCs w:val="20"/>
          <w:lang w:eastAsia="ko-KR"/>
        </w:rPr>
        <w:t>책임자</w:t>
      </w:r>
      <w:r w:rsidRPr="002C7F14">
        <w:rPr>
          <w:rFonts w:asciiTheme="minorEastAsia" w:eastAsiaTheme="minorEastAsia" w:hAnsiTheme="minorEastAsia" w:hint="eastAsia"/>
          <w:sz w:val="20"/>
          <w:szCs w:val="20"/>
          <w:lang w:eastAsia="ko-KR"/>
        </w:rPr>
        <w:t>라는 용어를 정의할 것을 제안한다. 제안된 책임자 정의는 "이 OTC 모노그래프가 적용되는 자외선차단제의 라벨에 이름이 표시되는 제조업자, 포장업자 또는 유통업자"이다. 이러한 방식으로 책임자를 정의하면 제품 라벨에서 즉시 알 수 있는 책임사슬이 생성되기 때문에 FDA가 OTC 모노그래프 조건의 준수 여부를 더 잘 평가할 수 있다. 라벨에 식별된 책임자는 자신의 이름이 표시된 제품이 OTC 모노그래프 요구사항에 따라 라벨링되도록 보장할 최종 책임이 있다.</w:t>
      </w:r>
    </w:p>
    <w:p w14:paraId="1965627B" w14:textId="671E6D22"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154DA21F" w14:textId="68D4FB26" w:rsidR="00B07B6F" w:rsidRPr="002C7F14" w:rsidRDefault="00AA3979" w:rsidP="00AA39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제안된 조항은 NDA 없이 시판되는 비처방 자외선차단제의 최종 제형 시험과 관련하여 책임자의 일반적인 의무를 광범위하게 규정하고, 자외선차단제가 적절히 시험되도록 보장할 책임이 책임자에게 있다는 점을 명확히 한다. 이 명령안에 규정된 책임자의 의무는 제312부(연방규정 제21편 제312부)에 따른 임상시험용 신약 신청(IND) 요청자의 의무를 모델로 하지만, 임상 및 비임상 자외선차단제 최종 제형 시험의 고유한 측면을 수용하기 위해 약간 수정되었다. NDA 없이 시판되는 비처방 자외선차단제에 대한 최종 제형 시험은 최종 제형에 대해 주장된 특성을 검증하기 위한 것이고, 이 목적은 제312부에 명시된 FDA의 IND 규정에 따라 수행되는 대부분의 임상 시험보다 범위와 기간이 좁기 때문에, 이 명령안에 따라 책임자는 시험자의 전통적인 일부 책임뿐만 아니라 제312부에 따른 의뢰자의 책임을 통합한 책임을 진다. 예를 들어, FDA는 책임자가 시험을 수행하기 위해 적절한 자격을 갖춘 인력을 선발하고, IRB 심사 및 고지에 입각한 동의 확보 관련 요구사항의 준수를 보장하며, 인력이 시험자 진술을 준수하는지 여부를 모니터링해야 함을 명확히 할 것을 제안한다.</w:t>
      </w:r>
    </w:p>
    <w:p w14:paraId="6E3395E3" w14:textId="4C0A199A"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3A8517C4" w14:textId="5B366F5B" w:rsidR="00AA3979" w:rsidRPr="002C7F14" w:rsidRDefault="00AA3979"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4519315B" w14:textId="77777777" w:rsidR="00AA3979" w:rsidRPr="002C7F14" w:rsidRDefault="00AA3979" w:rsidP="00AA39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제안된 이 접근방식은 최종 제형 시험을 수행하는 시험자 및 기타 인력이 책임자의 직원인 상황을 고려한다. 또한 책임자는 OTC 모노그래프에 따라 시판된 비처방 자외선차단제에 대한 SPF 시험을 수행하는 시험자 및 기타 인력이 피험자 보호 및 임상 시험의 적절한 수행과 관련된 요구사항을 준수하도록 보장해야 함을 명확히 할 것을 제안한다. 이 접근방식이 IND에 따라 수행된 임상 시험보다는 최종 제형 시험과 관련하여 더 일반적인 고용주/직원 관계를 더 잘 반영한다고 판단한다. 인력 선발과 관련하여 제안된 이 조항은 CGMP 준수를 규제하는 제210부 및 제211부(연방규정 제21편 제210부 및 제211부)에 따른 제조업자의 기존 의무와도 일치한다.</w:t>
      </w:r>
    </w:p>
    <w:p w14:paraId="72875CC7" w14:textId="77777777" w:rsidR="00AA3979" w:rsidRPr="002C7F14" w:rsidRDefault="00AA3979" w:rsidP="00AA3979">
      <w:pPr>
        <w:spacing w:line="264" w:lineRule="auto"/>
        <w:jc w:val="both"/>
        <w:rPr>
          <w:rFonts w:asciiTheme="minorEastAsia" w:eastAsiaTheme="minorEastAsia" w:hAnsiTheme="minorEastAsia" w:cs="맑은 고딕"/>
          <w:sz w:val="20"/>
          <w:szCs w:val="20"/>
          <w:lang w:eastAsia="ko-KR"/>
        </w:rPr>
      </w:pPr>
    </w:p>
    <w:p w14:paraId="525AE2C7" w14:textId="4DFF2DA3" w:rsidR="00B07B6F" w:rsidRPr="002C7F14" w:rsidRDefault="00AA3979" w:rsidP="00AA39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또한 이 명령의 제안은 책임자가 기록 보관과 관련된 의무를 제외하고 현재 업계 관행에 따라 전체 또는 일부 의무를 다른 기관으로 이전할 수 있도록 허용한다. 기록 보관 제안은 이 문서의 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E.iv.2.VIII에서 논의한다. 기관이 맡은 책임을 규제하는 모노그래프 조건을 준수하지 않는 기관은 이러한 의무를 준수하지 않는 책임자에게 적용되는 것과 동일한 규제 조치가 적용된다. 이 조항은 IND 의뢰자의 의무 이전을 허용하는 제312부의 FDA 규정에 명시된 조항과 유사하다.</w:t>
      </w:r>
    </w:p>
    <w:p w14:paraId="194CF314" w14:textId="38160A4D"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4096031D" w14:textId="61A77618" w:rsidR="00B07B6F" w:rsidRPr="002C7F14" w:rsidRDefault="00AA3979"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적절한 임상 시험 절차 및 조건</w:t>
      </w:r>
    </w:p>
    <w:p w14:paraId="385B223A" w14:textId="77777777" w:rsidR="00AA3979" w:rsidRPr="002C7F14" w:rsidRDefault="00AA3979" w:rsidP="00AA39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최종간주명령이 "모든 피험자에 대해 법적으로 유효한 고지에 입각한 서면 동의"를 요구하지만(§ M020.80(c)(4)), 임상 시험을 실시하기 위한 더 광범위한 기본 요구사항을 다루지는 않는다. 현재 임상 시험 절차 및 조건에 대해 확인된 우려사항을 고려하여 OTC 모노그래프에서 적절한 임상 시험 절차 및 조건을 다룰 것을 제안한다. 이 명령안의 제안을 준수하여 수행된 최종 제형 시험은 피험자의 보호를 보장하는 동시에 시험 중인 최종 제형의 SPF 값 및 내수성을 보다 신뢰할 수 있게 측정할 가능성이 높을 것으로 예상한다. 적절한 임상 시험 절차 및 조건을 준수하지 않는 한 FDA는 제품의 라벨링된 SPF 및 내수성에 대한 확신을 가질 수 없다.</w:t>
      </w:r>
    </w:p>
    <w:p w14:paraId="1B3CD819" w14:textId="77777777" w:rsidR="00AA3979" w:rsidRPr="002C7F14" w:rsidRDefault="00AA3979" w:rsidP="00AA3979">
      <w:pPr>
        <w:spacing w:line="264" w:lineRule="auto"/>
        <w:jc w:val="both"/>
        <w:rPr>
          <w:rFonts w:asciiTheme="minorEastAsia" w:eastAsiaTheme="minorEastAsia" w:hAnsiTheme="minorEastAsia" w:cs="맑은 고딕"/>
          <w:sz w:val="20"/>
          <w:szCs w:val="20"/>
          <w:lang w:eastAsia="ko-KR"/>
        </w:rPr>
      </w:pPr>
    </w:p>
    <w:p w14:paraId="1FF1FC5C" w14:textId="18CE504A" w:rsidR="00AA3979" w:rsidRPr="002C7F14" w:rsidRDefault="00AA3979" w:rsidP="00AA397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이 명령안은 고지에 입각한 동의(연방규정 21편 제50부) 및 IRB의 연구 승인(연방규정 제21편 제56부)을 규제하는 FDA 규정이 OTC 모노그래프에 따른 자외선차단제 시판을 뒷받침하게 위해 수행되는 임상 최종 제형 시험에 적용된다는 것을 명확히 하는 조항을 포함한다. 본 기관의 관점에서 IRB 승인은 과학적으로 건전하고 윤리적으로 적절한 결과를 도출하는 데 필수적이기 때문에, 모범 임상 실무의 문제로서 현행 최종간주명령에 따라 임상 최종 제형 시험에 대해 정기적으로 확보해야 한다.</w:t>
      </w:r>
      <w:r w:rsidRPr="002C7F14">
        <w:rPr>
          <w:rFonts w:asciiTheme="minorEastAsia" w:eastAsiaTheme="minorEastAsia" w:hAnsiTheme="minorEastAsia" w:hint="eastAsia"/>
          <w:spacing w:val="56"/>
          <w:sz w:val="20"/>
          <w:szCs w:val="20"/>
          <w:lang w:eastAsia="ko-KR"/>
        </w:rPr>
        <w:t xml:space="preserve"> </w:t>
      </w:r>
      <w:r w:rsidRPr="002C7F14">
        <w:rPr>
          <w:rFonts w:asciiTheme="minorEastAsia" w:eastAsiaTheme="minorEastAsia" w:hAnsiTheme="minorEastAsia" w:hint="eastAsia"/>
          <w:sz w:val="20"/>
          <w:szCs w:val="20"/>
          <w:lang w:eastAsia="ko-KR"/>
        </w:rPr>
        <w:t>NDA 없이 시판되는 비처방 자외선차단제의 GRASE 지위를 뒷받침하는 데 필요한 임상 최종 제형 시험은 IND에 따라 수행되지 않거나 연방규정 제21편 제330부</w:t>
      </w:r>
      <w:r w:rsidR="008D11CD" w:rsidRPr="002C7F14">
        <w:rPr>
          <w:rStyle w:val="a7"/>
          <w:rFonts w:asciiTheme="minorEastAsia" w:eastAsiaTheme="minorEastAsia" w:hAnsiTheme="minorEastAsia"/>
          <w:sz w:val="20"/>
          <w:szCs w:val="20"/>
          <w:lang w:eastAsia="ko-KR"/>
        </w:rPr>
        <w:footnoteReference w:id="68"/>
      </w:r>
      <w:r w:rsidRPr="002C7F14">
        <w:rPr>
          <w:rFonts w:asciiTheme="minorEastAsia" w:eastAsiaTheme="minorEastAsia" w:hAnsiTheme="minorEastAsia" w:hint="eastAsia"/>
          <w:sz w:val="20"/>
          <w:szCs w:val="20"/>
          <w:lang w:eastAsia="ko-KR"/>
        </w:rPr>
        <w:t>에 명시된 절차에 따라 성분을 GRASE 시판 조건으로 포함시키는 것을 뒷받침하지 않기 때문에, 이전에는 연방규정 제21편 제50부 및 제56부에서 다루는 시험 범위에 명시적으로 포함되지 않았다. 최종 제형 시험에 대한 OTC 모노그래프 조건에서 제50부 및 제56부를 명시적으로 교차 참조하여 이 누락을 정정할 것을 제안한다. 이렇게 하면 이 두 부가 모두 자외선차단제에 대한 임상 최종 제형 시험에 적용된다는 것을 명확히 할 수 있고, 현재 실무에서 발생하는 모든 불일치를 해결할 수 있다.</w:t>
      </w:r>
    </w:p>
    <w:p w14:paraId="216B0B13" w14:textId="77777777" w:rsidR="00AA3979" w:rsidRPr="002C7F14" w:rsidRDefault="00AA3979" w:rsidP="00AA3979">
      <w:pPr>
        <w:spacing w:line="264" w:lineRule="auto"/>
        <w:jc w:val="both"/>
        <w:rPr>
          <w:rFonts w:asciiTheme="minorEastAsia" w:eastAsiaTheme="minorEastAsia" w:hAnsiTheme="minorEastAsia" w:cs="맑은 고딕"/>
          <w:sz w:val="20"/>
          <w:szCs w:val="20"/>
          <w:lang w:eastAsia="ko-KR"/>
        </w:rPr>
      </w:pPr>
    </w:p>
    <w:p w14:paraId="555793FF" w14:textId="22948D7A" w:rsidR="00B07B6F" w:rsidRPr="002C7F14" w:rsidRDefault="00AA3979" w:rsidP="00AA3979">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연방규정 제21편 제50부에 대한 제안된 참조는 임상 최종 제형 시험에 참여하기 위한 법적으로 유효한 고지에 입각한 서면 동의가 이 부의 FDA 규정에서 다루는 다른 모든 임상 시험에 필요한 고지에 입각한 동의와 동일한 특성을 고유해야 한다는 FDA의 입장을 명확히 한다. 마찬가지로 연방규정 제21편 제56부를 참조함으로써 제안은 최종 제형 시험이 FDA 규정에서 다루는 다른 임상 시험과 동일한 IRB 심사 기준에 따라 수행되도록 보장한다. 임상 프로토콜을 심사할 때, IRB는 프로토콜이 추구하는 평가변수를 연구하기 위해 적절하게 설계되었는지 여부를 판단하고, 등록 기준과 같은 프로토콜 요소가 피험자 및 실험의 과학적 엄격성을 모두 적절하게 보호하도록 보장할 수 있는 능력이 있다.</w:t>
      </w:r>
    </w:p>
    <w:p w14:paraId="698B9B83" w14:textId="2BD9EA20"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1D8E9505" w14:textId="77777777" w:rsidR="00716399" w:rsidRPr="002C7F14" w:rsidRDefault="00716399"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인력 관리</w:t>
      </w:r>
    </w:p>
    <w:p w14:paraId="61F798ED" w14:textId="15C3B38B" w:rsidR="00B07B6F" w:rsidRPr="002C7F14" w:rsidRDefault="00716399" w:rsidP="0071639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임상 최종 제형 시험을 수행하는 시험자 및 기타 인력이 임상시험 계획, 서명된 시험자 진술서, 모든 관련 명령 및 규정을 준수하도록 보장할 책임을 책임자에게 부과할 것을 제안한다. 또한 피험자에 대한 명백한 즉각적 위험을 제거하기 위해 필요한 경우를 제외하고 시험 변경사항을 IRB에 적절히 보고하며 시험 변경사항에 대한 사전 IRB 승인을 적절히 요청함으로써 피험자의 보호를 보장할 책임을 책임자에게 부과할 것을 제안한다. 이 명령안에 따라 책임자는 각 시험자에게 서명된 시험자 진술서를 받고 관련 기록을 보관해야 한다. 이 요구사항은 IND 의뢰자에게 요구되는 것과 유사하며, 시험자가 적절한 자격을 갖추고 해당 의무를 이해하며 이 OTC 모노그래프 및 프로토콜의 해당 요구사항을 준수하도록 하는 데 도움이 된다. 또한 시험자 관련 경험 및 자격에 대한 기록을 작성하기 때문에 FDA가 임상 시험을 더 잘 감독할 수 있다.</w:t>
      </w:r>
    </w:p>
    <w:p w14:paraId="6D68D957" w14:textId="6A66D909"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p>
    <w:p w14:paraId="05F3C92E" w14:textId="77777777" w:rsidR="00716399" w:rsidRPr="002C7F14" w:rsidRDefault="00716399"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연구 모니터링</w:t>
      </w:r>
    </w:p>
    <w:p w14:paraId="06A126FC" w14:textId="79116649" w:rsidR="00716399" w:rsidRPr="002C7F14" w:rsidRDefault="00716399" w:rsidP="0071639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명령안은 임상 최종 제형 시험의 적절한 모니터링을 보장하기 위한 여러 제안도 포함한다. 제안된 조항은 특히 이상사례 또는 안전한 사용과 관련하여 의약품에 대한 새로운 관찰이 있는 경우 제형을 시험하는 모든 시험자에게 알려야 한다고 요구한다. 제안된 이 요구사항은 연구 인력 간 적절한 의사소통 및 피험자 보호를 보장하는 데 필요하다. 또한 책임자는 임상 시험이 프로토콜과 해당 OTC 모노그래프 조건 및 규정에 따라 수행되도록 보장하기 위해 시험 수행을 모니터링해야 한다. 책임자가 연구 인력의 비준수를 발견한 경우, 책임자는 준수를 보장하는 조치를 취하거나 비준수 인력을 시험 수행에서 제외해야 한다.</w:t>
      </w:r>
    </w:p>
    <w:p w14:paraId="7F7701CF" w14:textId="138D57C4"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p>
    <w:p w14:paraId="306CAD88" w14:textId="11097D09"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6E2E34F9" w14:textId="77777777" w:rsidR="00716399" w:rsidRPr="002C7F14" w:rsidRDefault="00716399" w:rsidP="00716399">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마지막으로, 시험자가 이상사례 및/또는 안전 문제를 책임자에게 보고하고, 시험 종료 시 최종 보고서를 책임자에게 제공하도록 요구할 것을 제안한다. 제안된 이 요구사항은 시험 중 발생한 이상사례 및/또는 안전 문제에 대한 적절한 문서화 및 전달을 보장할 것으로 판단한다. 또한 자외선차단제가 시판될 때 특정 제형과 관련된 문제가 제기될 경우 NDA 없이 시판된 비처방 자외선차단제에 대해 수행된 신뢰할 수 있는 SPF 시험 기록이 존재하도록 보장한다. 제안된 요구사항은 IND 맥락에서 요구된 보고와 일치하지만, NDA 없이 시판된 비처방 자외선차단제에 대해 수행된 임상 최종 제형 시험의 기간이 짧기 때문에 연간 보고를 요구하도록 제안하지 않고 있다.</w:t>
      </w:r>
    </w:p>
    <w:p w14:paraId="340E718D" w14:textId="77777777"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p>
    <w:p w14:paraId="08962D07" w14:textId="77777777" w:rsidR="003B0D86" w:rsidRPr="002C7F14" w:rsidRDefault="003B0D86"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피험자 선정</w:t>
      </w:r>
    </w:p>
    <w:p w14:paraId="35A78CB6" w14:textId="044A114E" w:rsidR="00716399" w:rsidRPr="002C7F14" w:rsidRDefault="003B0D86" w:rsidP="003B0D86">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또한 OTC 모노그래프에 따른 비처방 자외선차단제의 시판을 뒷받침하기 위해 수행하는 최종 제형 시험을 위한 피험자 선정에 관한 문구를 제안한다. 이는 FDA의 시험기관 검사에서 일관성이 부족하다고 드러난 영역이다. 특히 포함/제외 기준이 연구·등록 및 사전 UV 노출(예: 이전 SPF 시험 참여, 일광욕 또는 선램프 사용) 간에 충분한 시간을 두어야 한다는 점에 대해 우려한다. 홍반 반응은 일광욕 후 며칠 동안 지속될 수 있으며, 색소 침착은 초기 노출 후 최대 일주일이 걸리고 몇 주에서 몇 달 동안 지속되는 것으로 알려져 있다(Coelho외 공저 2009년). SPF 임상 연구는 최소한 지난 4주 또는 UV 유발 반응이 남아 있는 경우 이 보다 더 긴 기간 동안 일광욕, 태닝 베드 사용 또는 다른 SPF 임상 연구에 참여한 사람을 포함시켜서는 안 된다. 피험자 신체검사 수행에 대해 제안된 설명은 이 고려사항을 반영하며, 다른 곳에서 다룬 IRB 심사에 대한 추가 제안은 신체검사가 적절히 수행되도록 보장하는 데 도움이 될 것이다.</w:t>
      </w:r>
    </w:p>
    <w:p w14:paraId="326D6D04" w14:textId="2AFC015B"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p>
    <w:p w14:paraId="1D167D42" w14:textId="77777777" w:rsidR="003B0D86" w:rsidRPr="002C7F14" w:rsidRDefault="003B0D86"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등록 및 CGMP 요구사항의 적용 가능성</w:t>
      </w:r>
    </w:p>
    <w:p w14:paraId="20CCBDCD" w14:textId="0C0D0CB8" w:rsidR="00716399" w:rsidRPr="002C7F14" w:rsidRDefault="003B0D86" w:rsidP="003B0D86">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이 명령안은 모노그래프에 따라 수행된 비처방 자외선차단제에 대한 최종 제형 시험이 FDA의 CGMP 규정 적용을 위한 의약품 "제조"에 해당한다는 FDA의 기존 견해를 명확히 한다. 따라서 이 시험은 연방규정 제21편 제207부 및 FD&amp;C법 제510조(미국법전 제21편 제360조)에 따라 등록된 시설에서 수행해야 한다. 이 해석은 "... 의약품의 제조, 조제, 증식, 배합 또는 가공의 각 단계"를 포함하는 연방규정 제21편 제207부의 </w:t>
      </w:r>
      <w:r w:rsidRPr="002C7F14">
        <w:rPr>
          <w:rFonts w:asciiTheme="minorEastAsia" w:eastAsiaTheme="minorEastAsia" w:hAnsiTheme="minorEastAsia" w:hint="eastAsia"/>
          <w:i/>
          <w:iCs/>
          <w:sz w:val="20"/>
          <w:szCs w:val="20"/>
          <w:lang w:eastAsia="ko-KR"/>
        </w:rPr>
        <w:t xml:space="preserve">제조 </w:t>
      </w:r>
      <w:r w:rsidRPr="002C7F14">
        <w:rPr>
          <w:rFonts w:asciiTheme="minorEastAsia" w:eastAsiaTheme="minorEastAsia" w:hAnsiTheme="minorEastAsia" w:hint="eastAsia"/>
          <w:sz w:val="20"/>
          <w:szCs w:val="20"/>
          <w:lang w:eastAsia="ko-KR"/>
        </w:rPr>
        <w:t xml:space="preserve">정의와 일치한다(연방규정 제21편 제207.1조). 제207부에 사용된 </w:t>
      </w:r>
      <w:r w:rsidRPr="002C7F14">
        <w:rPr>
          <w:rFonts w:asciiTheme="minorEastAsia" w:eastAsiaTheme="minorEastAsia" w:hAnsiTheme="minorEastAsia" w:hint="eastAsia"/>
          <w:i/>
          <w:iCs/>
          <w:sz w:val="20"/>
          <w:szCs w:val="20"/>
          <w:lang w:eastAsia="ko-KR"/>
        </w:rPr>
        <w:t>제조</w:t>
      </w:r>
      <w:r w:rsidRPr="002C7F14">
        <w:rPr>
          <w:rFonts w:asciiTheme="minorEastAsia" w:eastAsiaTheme="minorEastAsia" w:hAnsiTheme="minorEastAsia" w:hint="eastAsia"/>
          <w:sz w:val="20"/>
          <w:szCs w:val="20"/>
          <w:lang w:eastAsia="ko-KR"/>
        </w:rPr>
        <w:t xml:space="preserve"> 정의에는 "예를 들어 다른 등록된 시설의 의약품에 대한 분석 시험을 비롯하여 최종 제품 또는 공정의 모든 부분에 적용되는 조작, 샘플링, 시험 또는 제어 절차가 포함된다"(동일 출처). 또한 이러한 해석은 OTC 모노그래프 의약품이 일반적으로 안전하고 효과적이며 부정 표시되지 않은 것으로 인정받기 위해 등록된 시설에서 제조되어야 한다고 요구하는 연방규정 제21편 제330.1조의 FDA 규정과 일치한다. 이 명령안에 이 조항을 통합하는 것은 이러한 유형의 시험을 수행하는 시설에 대한 기존 요구사항을 명확히 하기 위한 것이다.</w:t>
      </w:r>
    </w:p>
    <w:p w14:paraId="5AFF5376" w14:textId="1031B10F"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p>
    <w:p w14:paraId="5D624219" w14:textId="1629D6A6" w:rsidR="003B0D86" w:rsidRPr="002C7F14" w:rsidRDefault="003B0D86"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746FFAB7" w14:textId="77777777"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제조 활동으로서 이 항에 따라 수행되는 최종 제형 시험은 연방규정 제21편 제210부 및 제211부(연방규정 제21편 제210부 및 제211부의 목적상 "의약품 제조, 가공, 포장 또는 보관은 의약품 포장 및 라벨링 작업, 시험 및 품질관리를 포함한다"고 명시한 연방규정 제21편 제210.3(b)(12)조 참조)에 규정된 CGMP에 따라 수행되어야 한다는 것을 명확히 할 것을 제안한다. 이는 최종 모노그래프의 조건에 따라 시판될 때 OTC 의약품이 GRASE이고 부정 표시되지 않기 위한 조건으로 CGMP의 준수를 요구하는 연방규정 제21편 제330.1조의 FDA 규정과 일치한다. 연방규정 제21편 제210부 및 제211부에 규정된 CGMP 요구사항 준수에는 특정 기록을 보관하고 적절한 교육을 받은 유자격 인력을 확보해야 하는 요구사항의 준수가 포함된다.</w:t>
      </w:r>
    </w:p>
    <w:p w14:paraId="5E1C50CE" w14:textId="6F002316" w:rsidR="00716399" w:rsidRPr="002C7F14" w:rsidRDefault="00716399" w:rsidP="00EF791F">
      <w:pPr>
        <w:spacing w:line="264" w:lineRule="auto"/>
        <w:jc w:val="both"/>
        <w:rPr>
          <w:rFonts w:asciiTheme="minorEastAsia" w:eastAsiaTheme="minorEastAsia" w:hAnsiTheme="minorEastAsia" w:cs="맑은 고딕"/>
          <w:sz w:val="20"/>
          <w:szCs w:val="20"/>
          <w:lang w:eastAsia="ko-KR"/>
        </w:rPr>
      </w:pPr>
    </w:p>
    <w:p w14:paraId="519325B1" w14:textId="77777777" w:rsidR="0096612E" w:rsidRPr="002C7F14" w:rsidRDefault="0096612E"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기록 보관</w:t>
      </w:r>
    </w:p>
    <w:p w14:paraId="6A503645" w14:textId="3DE3BC34"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FDA가 OTC 모노그래프 요구사항의 준수를 더 잘 모니터링할 수 있도록 하기 위해 최종 제형 시험에 대한 특정 기록 보관 요구사항을 포함시킬 것을 제안한다. 따라서 명령안의 § M020.110은 이 OTC 모노그래프에 따라 수행된 어떤 시험 기록을 누가, 얼마 동안 보관해야 하는지 명확히 한다. 또한 이 조항은 기록 유지에 대한 책임을 할당하고 검사를 위해 FDA에 어떤 기록을 제공해야 하는지를 명시한다. 기록 보관은 FDA가 요구된 최종 제형 시험이 OTC 모노그래프에 따라 수행되고 있는지 여부를 평가하고 시판 후 제품 실패 또는 이상사례를 조사할 수 있도록 하는 데 필수적이다. 또한 적절한 기록 보관을 통해 FDA는 최종 제형 시험을 수행하는 기관에 대한 더 나은, 더 효율적인 검사를 수행할 수 있다.</w:t>
      </w:r>
    </w:p>
    <w:p w14:paraId="223EE503" w14:textId="77777777" w:rsidR="0096612E" w:rsidRPr="002C7F14" w:rsidRDefault="0096612E" w:rsidP="0096612E">
      <w:pPr>
        <w:spacing w:line="264" w:lineRule="auto"/>
        <w:jc w:val="both"/>
        <w:rPr>
          <w:rFonts w:asciiTheme="minorEastAsia" w:eastAsiaTheme="minorEastAsia" w:hAnsiTheme="minorEastAsia" w:cs="맑은 고딕"/>
          <w:sz w:val="20"/>
          <w:szCs w:val="20"/>
          <w:lang w:eastAsia="ko-KR"/>
        </w:rPr>
      </w:pPr>
    </w:p>
    <w:p w14:paraId="61E465CD" w14:textId="77777777"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이러한 기록 보관 요구사항은 연방규정 제21편 제210부 및 제211부에 규정된 CGMP에 따른 다른 유형의 제조에 요구되는 사항과 일치한다. 제안된 조항은 요구된 최종 제형 시험을 입증하기 위해 기록을 어떻게, 얼마 동안 보관해야 하는지를 명확히 하기 위한 것이다. (이전에 논의된 바와 같이 이 명령안에서 새로 정의된) 책임자뿐만 아니라 (본 규정안의 § M020.70(a)에 의거한 의무 이전에 따라) 실제로 시험을 수행한 다른 기관이 시험 기록을 보관해야 한다고 제안하고 있다. 책임자 및 시험기관(다른 경우) 모두가 기록을 보관하도록 요구하면 제품이 책임자 정보로 라벨링되었지만 시험 및 제조가 제삼자에 의해 완료된 경우에도 FDA가 특정 최종 제형의 라벨링을 뒷받침하는 기록을 보다 쉽게 식별할 수 있다.</w:t>
      </w:r>
    </w:p>
    <w:p w14:paraId="12224EC7" w14:textId="77777777" w:rsidR="0096612E" w:rsidRPr="002C7F14" w:rsidRDefault="0096612E" w:rsidP="0096612E">
      <w:pPr>
        <w:spacing w:line="264" w:lineRule="auto"/>
        <w:jc w:val="both"/>
        <w:rPr>
          <w:rFonts w:asciiTheme="minorEastAsia" w:eastAsiaTheme="minorEastAsia" w:hAnsiTheme="minorEastAsia" w:cs="맑은 고딕"/>
          <w:sz w:val="20"/>
          <w:szCs w:val="20"/>
          <w:lang w:eastAsia="ko-KR"/>
        </w:rPr>
      </w:pPr>
    </w:p>
    <w:p w14:paraId="4934F1F2" w14:textId="77777777"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제안된 기록 보관 요구사항은 규제 대상 업계와 상호작용한 FDA의 경험을 반영한다. 책임자 및 최종 제형 시험을 수행하는 다른 기관이 모두 기록을 보관하도록 요구함으로써 이 명령안은 예컨대 FDA가 제형 실패의 원인 또는 제품 라벨링 및 소비자 경험 간의 명백한 불일치를 식별할 수 있도록 하여 FDA가 NDA 없이 시판된 자외선차단제에 대한 OTC 모노그래프 조건의 준수를 더 잘 모니터링할 수 있도록 한다. 또한 제안된 기록 보관 요구사항은 FDA가 업계의 일반적인 관행으로 판단되는, 여러 책임자 및 제품을 위해 최종 제형 시험을 수행하는 기관에 대한 검사를 수행할 때 도움이 될 것이다.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이러한 기관을 검사하는 동안 최종 제형 시험의 전반적인 수행을 반영하는 기록에 쉽게 접근할 수 있는 것은 중요한데, 그 이유는 FDA가 다양한 책임자에 의해 시판되는 여러 상이한 자외선차단제의 라벨링을 뒷받침하는 결과의 신뢰성에 영향을 미칠 수 있는 최종 제형 시험의 잠재적인 시스템 문제를 식별할 수 있게 하기 때문이다. 이 기록 보관 요구사항은 단일 시험기관 또는 단일 책임자의 파일에서 중복 기록을 의무화하는 것으로 이해해서는 안 된다. 예를 들어, 시험자 한 명이 여러 최종 제형을 시험할 제형이 있는 경우, 서명된 시험자 진술서 및 이력서(CV) 사본 한 부로 해당 시험자가 시험한 모든 제형을 뒷받침하기에 충분하다.</w:t>
      </w:r>
    </w:p>
    <w:p w14:paraId="0F32BFF6" w14:textId="77777777" w:rsidR="0096612E" w:rsidRPr="002C7F14" w:rsidRDefault="0096612E" w:rsidP="0096612E">
      <w:pPr>
        <w:spacing w:line="264" w:lineRule="auto"/>
        <w:jc w:val="both"/>
        <w:rPr>
          <w:rFonts w:asciiTheme="minorEastAsia" w:eastAsiaTheme="minorEastAsia" w:hAnsiTheme="minorEastAsia" w:cs="맑은 고딕"/>
          <w:sz w:val="20"/>
          <w:szCs w:val="20"/>
          <w:lang w:eastAsia="ko-KR"/>
        </w:rPr>
      </w:pPr>
    </w:p>
    <w:p w14:paraId="21216C36" w14:textId="125BFEAE"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최종 제형 시험은 FDA의 CGMP 규정 적용 목적상 제조라는 FDA의 견해에 따라, 장비 유지관리 기록 및 CGMP 준수를 문서화한 기타 기록은 연방규정 제21편 제210부 및 제211부에서 요구한 대로 유지될 것으로 예상한다. 따라서 이 명령안의 § M020.110(a)에서 최종 제형 시험에 사용된 장비의 적절한 유지관리를 문서화한 기록은 연방규정 제21편 제211.68조에 규정된 기존 의무에 따라 보관해야 함을 명확히 한다. FDA는 이러한 명확화가 모범 실무 준수의 일관성을 촉진하고 최종 제형 시험에 근거하여 자외선차단제의 보다 정확하고 신뢰할 수 있는 라벨링을 보장하는 데 도움이 될 것으로 본다. 연방규정 제21편 제211부의 보다 일반적인 기록 보관 조항이 최종 제형 시험에 어떻게 적용되는지 명확히 하기 위해 여기에 추가로 구체적인 사항이 제안되었다.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시험 결과가 잘못된 장비 유지관리 또는 장비 고장으로 인해 손상되지 않도록 보장하기 위해, FDA는 시험기관이 최종 제형 시험에 사용된 장비가 확립된 서면 규격에 따라 유지관리되었음을 입증하는 문서를 보관해야 한다고 제안한다. 이 요구사항을 통해 FDA는 규정 준수를 보다 효율적으로 모니터링할 수 있다. FDA의 다른 CGMP 요구사항에 대한 처리와 일관되게, 기록 보관 없이 자외선차단제가 동일성 및 함량, 주장된 또는 갖춘 것으로 표시된 품질 및 순도 특성을 충족한다는 보장은 없다.</w:t>
      </w:r>
    </w:p>
    <w:p w14:paraId="1A4129CA" w14:textId="77777777" w:rsidR="0096612E" w:rsidRPr="002C7F14" w:rsidRDefault="0096612E" w:rsidP="0096612E">
      <w:pPr>
        <w:spacing w:line="264" w:lineRule="auto"/>
        <w:jc w:val="both"/>
        <w:rPr>
          <w:rFonts w:asciiTheme="minorEastAsia" w:eastAsiaTheme="minorEastAsia" w:hAnsiTheme="minorEastAsia" w:cs="맑은 고딕"/>
          <w:sz w:val="20"/>
          <w:szCs w:val="20"/>
          <w:lang w:eastAsia="ko-KR"/>
        </w:rPr>
      </w:pPr>
    </w:p>
    <w:p w14:paraId="50ECD983" w14:textId="77777777"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이 제안은 최종 제형 시험 수행과 관련된 명령안의 요구사항 준수를 문서화하는 데 필요한 기록 보관에 대해서도 자세히 설명한다. SPF 시험에 대해 제안된 필수 기록에는 (1) 시험을 수행한 시설을 식별하고, (2) 사용된 장비를 식별하며, (3) 제품 샘플 및 로트를 식별하며, (4) 사용된 SPF 표준시료를 특성화하고, (5) 내수성 시험의 매개변수를 문서화하며, (6) 적절한 임상 시험 절차 및 조건을 규제하는 조항의 준수를 입증하는 기록이 포함된다. 예를 들어, 여기에는 IRB 심사, 각 피험자의 증례 병력(프로토콜 편차 또는 부상을 문서화해야 함), 자외선차단제 투여 및 시험 결과 판독에 대한 문서화학 포함된다. 제안된 이 기록 보관 의무는 FDA 규정(예: 연방규정 제21편 제312부)에 의해 규제되는 피험자 시험에 참여하는 당사자에게 요구되는 의무와 일치한다.</w:t>
      </w:r>
    </w:p>
    <w:p w14:paraId="29615A19" w14:textId="77777777" w:rsidR="0096612E" w:rsidRPr="002C7F14" w:rsidRDefault="0096612E" w:rsidP="0096612E">
      <w:pPr>
        <w:spacing w:line="264" w:lineRule="auto"/>
        <w:jc w:val="both"/>
        <w:rPr>
          <w:rFonts w:asciiTheme="minorEastAsia" w:eastAsiaTheme="minorEastAsia" w:hAnsiTheme="minorEastAsia" w:cs="맑은 고딕"/>
          <w:sz w:val="20"/>
          <w:szCs w:val="20"/>
          <w:lang w:eastAsia="ko-KR"/>
        </w:rPr>
      </w:pPr>
    </w:p>
    <w:p w14:paraId="3F172D1D" w14:textId="16CA2CF4" w:rsidR="0096612E" w:rsidRPr="002C7F14" w:rsidRDefault="0096612E" w:rsidP="0096612E">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이 명령안에 따라 수행된 광범위 스펙트럼 시험의 필수 기록에는 시험을 수행한 시설을 식별하고, 샘플과 관련된 정보를 제공하며, 사용된 장비를 식별하고, 자외선차단제 적용을 문서화하는 데 필요한 기록이 포함된다. 제안된 이 요구사항은 FDA의 CGMP 규정에 있는 기존 요구사항보다 더 구체적인 사항을 제공하며, 현재 실무의 일관성을 높일 것으로 예상된다. 책임자 및 기타 시험기관이 이 명령안에 따라 보관해야 하는 기록의 접근성에 대한 FDA의 기대사항을 명확히 할 것을 제안한다. 제안된 이 모노그래프 조건은 FD&amp;C법 제704조 (미국법전 제21편 제374조)에 규정된 FDA의 검사 권한과 일치한다.</w:t>
      </w:r>
    </w:p>
    <w:p w14:paraId="17259F0D" w14:textId="1144A365"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347448E0" w14:textId="77777777" w:rsidR="0096612E" w:rsidRPr="002C7F14" w:rsidRDefault="0096612E" w:rsidP="008E4E2D">
      <w:pPr>
        <w:pStyle w:val="30"/>
        <w:keepNext w:val="0"/>
        <w:numPr>
          <w:ilvl w:val="0"/>
          <w:numId w:val="28"/>
        </w:numPr>
        <w:spacing w:afterLines="100" w:after="240" w:line="264" w:lineRule="auto"/>
        <w:ind w:leftChars="0" w:left="4678" w:firstLineChars="0" w:hanging="403"/>
        <w:jc w:val="both"/>
        <w:rPr>
          <w:rFonts w:asciiTheme="minorEastAsia" w:eastAsiaTheme="minorEastAsia" w:hAnsiTheme="minorEastAsia"/>
          <w:b/>
          <w:sz w:val="20"/>
          <w:szCs w:val="20"/>
          <w:lang w:eastAsia="ko-KR"/>
        </w:rPr>
      </w:pPr>
      <w:r w:rsidRPr="002C7F14">
        <w:rPr>
          <w:rFonts w:asciiTheme="minorEastAsia" w:eastAsiaTheme="minorEastAsia" w:hAnsiTheme="minorEastAsia" w:hint="eastAsia"/>
          <w:b/>
          <w:sz w:val="20"/>
          <w:szCs w:val="20"/>
          <w:lang w:eastAsia="ko-KR"/>
        </w:rPr>
        <w:t>시험 절차에 대해 제안된 경미한 개정사항</w:t>
      </w:r>
    </w:p>
    <w:p w14:paraId="113D2080" w14:textId="28D00556"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 xml:space="preserve">섹션 </w:t>
      </w:r>
      <w:proofErr w:type="gramStart"/>
      <w:r w:rsidRPr="002C7F14">
        <w:rPr>
          <w:rFonts w:asciiTheme="minorEastAsia" w:eastAsiaTheme="minorEastAsia" w:hAnsiTheme="minorEastAsia" w:hint="eastAsia"/>
          <w:sz w:val="20"/>
          <w:szCs w:val="20"/>
          <w:lang w:eastAsia="ko-KR"/>
        </w:rPr>
        <w:t>VI.</w:t>
      </w:r>
      <w:proofErr w:type="gramEnd"/>
      <w:r w:rsidRPr="002C7F14">
        <w:rPr>
          <w:rFonts w:asciiTheme="minorEastAsia" w:eastAsiaTheme="minorEastAsia" w:hAnsiTheme="minorEastAsia" w:hint="eastAsia"/>
          <w:sz w:val="20"/>
          <w:szCs w:val="20"/>
          <w:lang w:eastAsia="ko-KR"/>
        </w:rPr>
        <w:t>E.iv에서 논의된 변경사항 외에도, 시험을 수행하는 방법을 명확히 하기 위해 최종강주명령의 자외선차단제 최종 제형 시험에 대한 기술 지침을 업데이트할 것을 제안하고 있다. SPF 시험 절차를 수행하는 제조업자가 자외선차단제를 시험하기에 너무 앞서 생성된 비호보 피부의 초기 최소홍반량(MEDu) 측정에 의존하고 있을 수 있다는 점이 우려된다. 최종간주명령의 현행 조항은 각 피험자에 대해 (1) 비보호 피부의 초기 MED(초기 MEDu), (2) 비보호 피부의 최종 MED(최종 MEDu), (3) SPF 표준시료가 적용된 피부의 MED(ssMEDp) 및 (4) 자외선차단제가 적용된 피부의 MED(tpMEDp)의 4가지 상이한 측정을 다룬다. 초기 MEDu는 최종 MEDu, ssMEDp 및 tpMEDp를 측정하기 위해 적용된 UV 노출량을 정하는 데 사용된다(최종간주명령의 § M020.80(e) 참조).</w:t>
      </w:r>
    </w:p>
    <w:p w14:paraId="2F3FA37A" w14:textId="376F53EA"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p>
    <w:p w14:paraId="44F3149F" w14:textId="7A2283D2" w:rsidR="0096612E" w:rsidRPr="002C7F14" w:rsidRDefault="0096612E" w:rsidP="0096612E">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 xml:space="preserve">최종간주명령은 각 MED 값을 UV 노출 후 16~24시간 후 측정하도록 요구하지만, 최종 MEDu, ssMEDp 및 tpMEDp는 "일반적으로 초기 MEDu를 측정한 다음 날 측정한다"는 것만 명시한다(최종간주명령의 § M020.80(e)(4) 참조). 피험자의 피부 반응성은 시간이 지남에 따라 변하기 때문에, 비보호 피부의 초기 MEDu는 최종 MEDu, ssMEDp 및 tpMEDp를 위한 UV 노출을 적용하기 전 1일 내에 </w:t>
      </w:r>
      <w:r w:rsidRPr="002C7F14">
        <w:rPr>
          <w:rFonts w:asciiTheme="minorEastAsia" w:eastAsiaTheme="minorEastAsia" w:hAnsiTheme="minorEastAsia" w:hint="eastAsia"/>
          <w:i/>
          <w:iCs/>
          <w:sz w:val="20"/>
          <w:szCs w:val="20"/>
          <w:lang w:eastAsia="ko-KR"/>
        </w:rPr>
        <w:t>측정해야 함</w:t>
      </w:r>
      <w:r w:rsidRPr="002C7F14">
        <w:rPr>
          <w:rFonts w:asciiTheme="minorEastAsia" w:eastAsiaTheme="minorEastAsia" w:hAnsiTheme="minorEastAsia" w:hint="eastAsia"/>
          <w:sz w:val="20"/>
          <w:szCs w:val="20"/>
          <w:lang w:eastAsia="ko-KR"/>
        </w:rPr>
        <w:t xml:space="preserve">을 명확히 할 것을 제안한다. 또한 제안된 § M020.80(g)에 따라 각 피험자의 SPF 값을 계산하려면 피험자의 </w:t>
      </w:r>
      <w:r w:rsidRPr="002C7F14">
        <w:rPr>
          <w:rFonts w:asciiTheme="minorEastAsia" w:eastAsiaTheme="minorEastAsia" w:hAnsiTheme="minorEastAsia" w:hint="eastAsia"/>
          <w:i/>
          <w:iCs/>
          <w:sz w:val="20"/>
          <w:szCs w:val="20"/>
          <w:lang w:eastAsia="ko-KR"/>
        </w:rPr>
        <w:t>최종</w:t>
      </w:r>
      <w:r w:rsidRPr="002C7F14">
        <w:rPr>
          <w:rFonts w:asciiTheme="minorEastAsia" w:eastAsiaTheme="minorEastAsia" w:hAnsiTheme="minorEastAsia" w:hint="eastAsia"/>
          <w:sz w:val="20"/>
          <w:szCs w:val="20"/>
          <w:lang w:eastAsia="ko-KR"/>
        </w:rPr>
        <w:t xml:space="preserve"> MEDu를 사용해야 한다는 점도 명확히 하고 있다.</w:t>
      </w:r>
    </w:p>
    <w:p w14:paraId="6AEF1334" w14:textId="70C0B457"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p>
    <w:p w14:paraId="0EC8E021" w14:textId="61033290" w:rsidR="0096612E" w:rsidRPr="002C7F14" w:rsidRDefault="0096612E" w:rsidP="0096612E">
      <w:pPr>
        <w:pStyle w:val="a9"/>
        <w:spacing w:line="264" w:lineRule="auto"/>
        <w:ind w:firstLine="72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NDA 없이 시판되는 비처방 자외선차단제에 대한 시험 요구사항을 검토하는 과정에서 본 기관은 시험관 내 광범위 스펙트럼 시험의 입구 슬릿 폭 규격에 대한 입장을 재검토했다. 현재 최종간주명령에 통합된 2011년 L&amp;E 최종 규칙에서 입구 슬릿 분광기 폭 규격을 ≤ 5nm에서 ≤ 1nm로 변경하기 위해 2007년 규칙안에서 제안되었던 시험관 내 광범위 스펙트럼 시험을 수정했다. 2011년 최종 규칙이 고시된 후, FDA는 1nm 입구 슬릿 폭 규격이 불합리하다고 주장한 분광기 제조업자의 의견을 접수했다. 이 제조업자는 현재 자외선차단제를 사용하기 위해 사용되는 일반적인 분광기 모델이 ≤ 1 nm의 입구 슬릿 폭 규격을 준수할 수 없으며, 준수할 수 있는 모델은 더 비싸고, 더 사용하기 어려우며, 사용하는 데 더 많은 시간이 걸린다고 주장했다.</w:t>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 xml:space="preserve">제조업자는 입구 슬릿 폭이 ≤ 1 nm인 분광기가 입구 슬릿 폭이 더 큰 분광기보다 더 신뢰할 수 있는 결과를 생성하지 않는다는 것을 나타내는 데이터를 제공했다(의견, 문서철 번호 FDA-2010-D-0509-0004, </w:t>
      </w:r>
      <w:hyperlink r:id="rId14">
        <w:r w:rsidRPr="002C7F14">
          <w:rPr>
            <w:rFonts w:asciiTheme="minorEastAsia" w:eastAsiaTheme="minorEastAsia" w:hAnsiTheme="minorEastAsia" w:hint="eastAsia"/>
            <w:color w:val="0000FF"/>
            <w:sz w:val="20"/>
            <w:szCs w:val="20"/>
            <w:u w:val="single" w:color="0000FF"/>
            <w:lang w:eastAsia="ko-KR"/>
          </w:rPr>
          <w:t>https://www.regulations.gov</w:t>
        </w:r>
      </w:hyperlink>
      <w:r w:rsidRPr="002C7F14">
        <w:rPr>
          <w:rFonts w:asciiTheme="minorEastAsia" w:eastAsiaTheme="minorEastAsia" w:hAnsiTheme="minorEastAsia" w:hint="eastAsia"/>
          <w:sz w:val="20"/>
          <w:szCs w:val="20"/>
          <w:lang w:eastAsia="ko-KR"/>
        </w:rPr>
        <w:t xml:space="preserve">(2021년 5월 21일 접속)). 이 제출 자료를 바탕으로, FDA는 입구 슬릿 폭 매개변수를 재평가했고 ≤5nm가 광범위 스펙트럼 절차에 충분할 것이라고 결론지었다. 슬릿 폭을 줄이면 간격이 좁은 피크를 분해하는 능력(즉, 분광해상도)이 향상되지만, 자외선차단제의 투과율/흡광도 곡선은 일반적으로 개별적인 뚜렷한 피크 없이 매끄럽기 때문에 자외선차단제의 시험관 내 광범위 스펙트럼 시험에서 중요한 고려사항이 아니다. 따라서 NDA 없이 시판된 비처방 자외선차단제의 광범위 스펙트럼 시험을 위한 분광기 입구 슬릿이 ≤5nm의 폭을 제공하도록 설정해야 한다고 제안한다. </w:t>
      </w:r>
    </w:p>
    <w:p w14:paraId="2BD35096" w14:textId="64C76262"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p>
    <w:p w14:paraId="6CC373FC" w14:textId="03B37C41" w:rsidR="0096612E" w:rsidRPr="002C7F14" w:rsidRDefault="0096612E" w:rsidP="0096612E">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또한 시험 절차를 설명하는 최종간주명령 문구의 사소한 부정확성을 수정하기 위해 모노그래프를 업데이트할 것을 제안한다. 구체적으로 최종간주명령의 § M020.80(a)(2)(iii)은 "휴대용 방사계를 사용하여 방출 스펙트럼을 측정해야 한다"고 명시한다. 휴대용 방사계는 태양광 시뮬레이터의 방출 스펙트럼을 측정할 수 없기 때문에 이 문구는 부정확하다. 휴대용 방사계가 방출 스펙트럼이 아닌 태양광 시뮬레이터 방사 강도를 측정한다는 것을 명확히 하여 이 오류를 해결할 것을 제안한다(제안된 § M020.80(b)(2)(iii) 참조). 끝으로 이러한 시험 조항은 단순한 제안이 아니라 요구사항이라는 오랫동안 유지된 의도를 명확히 하기 위해 최종 제형 시험 절차를 설명하는 문구를 업데이트할 것을 제안했다.</w:t>
      </w:r>
    </w:p>
    <w:p w14:paraId="040B37F3" w14:textId="3D6E142F"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p>
    <w:p w14:paraId="43091DAD" w14:textId="4FC43E14"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p>
    <w:p w14:paraId="6751DC16" w14:textId="77777777" w:rsidR="00E00EEF" w:rsidRPr="002C7F14" w:rsidRDefault="00E00EEF" w:rsidP="008E4E2D">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자외선차단제-방충제 조합 제품에 대해 제안된 지위</w:t>
      </w:r>
    </w:p>
    <w:p w14:paraId="368E6300" w14:textId="4D145FCD" w:rsidR="0096612E" w:rsidRPr="002C7F14" w:rsidRDefault="00E00EEF" w:rsidP="008E4E2D">
      <w:pPr>
        <w:pStyle w:val="a8"/>
        <w:numPr>
          <w:ilvl w:val="0"/>
          <w:numId w:val="2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배경</w:t>
      </w:r>
    </w:p>
    <w:p w14:paraId="2A46AA64" w14:textId="4AB87D6C" w:rsidR="0096612E" w:rsidRPr="002C7F14" w:rsidRDefault="00E00EEF" w:rsidP="00E00EE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자외선차단제-방충제 조합 의약품은 자외선차단제 성분 및 방충제 성분을 모두 함유한 인체 피부에 사용되는 제품이다. FDA는 방충제 성분, SPF 수준, 투여 형태 및 기타 특성이 다양한 여러 제품을 알고 있다. FDA는 FD&amp;C법에 따라 자외선차단제를 의약품으로 규제하며, EPA는 현재 FIFRA에 따라 방충제를 살충제로 규제한다.</w:t>
      </w:r>
      <w:r w:rsidRPr="002C7F14">
        <w:rPr>
          <w:rStyle w:val="a7"/>
          <w:rFonts w:asciiTheme="minorEastAsia" w:eastAsiaTheme="minorEastAsia" w:hAnsiTheme="minorEastAsia"/>
          <w:sz w:val="20"/>
          <w:szCs w:val="20"/>
          <w:lang w:eastAsia="ko-KR"/>
        </w:rPr>
        <w:footnoteReference w:id="69"/>
      </w:r>
      <w:r w:rsidRPr="002C7F14">
        <w:rPr>
          <w:rFonts w:asciiTheme="minorEastAsia" w:eastAsiaTheme="minorEastAsia" w:hAnsiTheme="minorEastAsia" w:hint="eastAsia"/>
          <w:spacing w:val="40"/>
          <w:sz w:val="20"/>
          <w:szCs w:val="20"/>
          <w:lang w:eastAsia="ko-KR"/>
        </w:rPr>
        <w:t xml:space="preserve"> </w:t>
      </w:r>
      <w:r w:rsidRPr="002C7F14">
        <w:rPr>
          <w:rFonts w:asciiTheme="minorEastAsia" w:eastAsiaTheme="minorEastAsia" w:hAnsiTheme="minorEastAsia" w:hint="eastAsia"/>
          <w:sz w:val="20"/>
          <w:szCs w:val="20"/>
          <w:lang w:eastAsia="ko-KR"/>
        </w:rPr>
        <w:t>FIFRA는 관련 부분에서 "살충제"를 곤충을 비롯한 "...</w:t>
      </w:r>
      <w:r w:rsidR="000A6063"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모든 해충을 퇴치하도록 의도된... 모든 물질"로 정의한다 (미국법전 제7편 제136)(u)조). 대부분의 피부 적용 방충제는 시판되기 전 EPA에 등록해야 하지만, 일부 식물 유래 방충제 활성성분은 EPA가 인간에게 최소의 위험 가능성을 제기한다고 판단했기 때문에 등록에서 면제된다(EPA 2015년).</w:t>
      </w:r>
    </w:p>
    <w:p w14:paraId="3EE9FE0B" w14:textId="3F8C28C6" w:rsidR="00E00EEF" w:rsidRPr="002C7F14" w:rsidRDefault="00E00EEF" w:rsidP="00EF791F">
      <w:pPr>
        <w:spacing w:line="264" w:lineRule="auto"/>
        <w:jc w:val="both"/>
        <w:rPr>
          <w:rFonts w:asciiTheme="minorEastAsia" w:eastAsiaTheme="minorEastAsia" w:hAnsiTheme="minorEastAsia" w:cs="맑은 고딕"/>
          <w:sz w:val="20"/>
          <w:szCs w:val="20"/>
          <w:lang w:eastAsia="ko-KR"/>
        </w:rPr>
      </w:pPr>
    </w:p>
    <w:p w14:paraId="445F8FEE" w14:textId="49A88699" w:rsidR="0096612E" w:rsidRPr="002C7F14" w:rsidRDefault="00E00EEF" w:rsidP="00E00EEF">
      <w:pPr>
        <w:pStyle w:val="a9"/>
        <w:spacing w:line="264" w:lineRule="auto"/>
        <w:ind w:firstLine="72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자외선차단제-방충제는 OTC 검토가 시작되기 전부터 미국에서 시판되었지만, 2019년 규칙안(연방관보 제84편 6204, 6244 페이지)의 고시 전에는 OTC 자외선차단제 모노그래프에 대한 규칙제정에서 다루지 않았다. FDA와 EPA 모두 역사적으로 자외선차단제 활성성분이 (당시) 보류된 최종 모노그래프에 등재되어 있고 방충제 성분이 EPA에 등록되어 있는 경우 최종 자외선차단제 모노그래프가 발행될 때까지 이러한 제품의 시판에 반대하지 않았다(연방관보 제79편 7941, 7943 페이지). 2011년 FDA는 승인된 신청 없이 OTC 자외선차단제를 시판하는 제조업자를 대상으로 한 시행 지침안을 발행했으며, 이 지침에서 자외선차단제-방충제 조합 제품의 제조업자가 당시 연방규정 제21편 제201.327조에 포함되었고 현재 최종간주명령의 § M020.50, § M020.80 및 § M020.90에 포함된 FDA의 자외선차단제 시험 및 라벨링 요구사항을 최대한 철저히 준수해야 한다고 권고한다. 이 지침은 2018년 5월에 확정되었지만(FDA 2018a년), (위에서 언급한 바와 같이) 최종간주명령 고시와 함께 철회되었다.</w:t>
      </w:r>
    </w:p>
    <w:p w14:paraId="37488701" w14:textId="77777777" w:rsidR="0096612E" w:rsidRPr="002C7F14" w:rsidRDefault="0096612E" w:rsidP="00EF791F">
      <w:pPr>
        <w:spacing w:line="264" w:lineRule="auto"/>
        <w:jc w:val="both"/>
        <w:rPr>
          <w:rFonts w:asciiTheme="minorEastAsia" w:eastAsiaTheme="minorEastAsia" w:hAnsiTheme="minorEastAsia" w:cs="맑은 고딕"/>
          <w:sz w:val="20"/>
          <w:szCs w:val="20"/>
          <w:lang w:eastAsia="ko-KR"/>
        </w:rPr>
      </w:pPr>
    </w:p>
    <w:p w14:paraId="4B56A585" w14:textId="236F77AB" w:rsidR="00E00EEF" w:rsidRPr="002C7F14" w:rsidRDefault="00E00EEF" w:rsidP="00EF791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064E9A5D" w14:textId="0F05BC6D" w:rsidR="00B07B6F" w:rsidRPr="002C7F14" w:rsidRDefault="00E00EEF" w:rsidP="00E00EEF">
      <w:pPr>
        <w:pStyle w:val="a9"/>
        <w:spacing w:line="264" w:lineRule="auto"/>
        <w:ind w:firstLine="720"/>
        <w:jc w:val="both"/>
        <w:rPr>
          <w:rFonts w:asciiTheme="minorEastAsia" w:eastAsiaTheme="minorEastAsia" w:hAnsiTheme="minorEastAsia" w:cs="맑은 고딕"/>
          <w:sz w:val="18"/>
          <w:szCs w:val="20"/>
          <w:lang w:eastAsia="ko-KR"/>
        </w:rPr>
      </w:pPr>
      <w:r w:rsidRPr="002C7F14">
        <w:rPr>
          <w:rFonts w:asciiTheme="minorEastAsia" w:eastAsiaTheme="minorEastAsia" w:hAnsiTheme="minorEastAsia" w:hint="eastAsia"/>
          <w:sz w:val="20"/>
          <w:lang w:eastAsia="ko-KR"/>
        </w:rPr>
        <w:t xml:space="preserve">2007년 2월 22일자 </w:t>
      </w:r>
      <w:r w:rsidRPr="002C7F14">
        <w:rPr>
          <w:rFonts w:asciiTheme="minorEastAsia" w:eastAsiaTheme="minorEastAsia" w:hAnsiTheme="minorEastAsia" w:hint="eastAsia"/>
          <w:i/>
          <w:iCs/>
          <w:sz w:val="20"/>
          <w:lang w:eastAsia="ko-KR"/>
        </w:rPr>
        <w:t>연방관보</w:t>
      </w:r>
      <w:r w:rsidRPr="002C7F14">
        <w:rPr>
          <w:rFonts w:asciiTheme="minorEastAsia" w:eastAsiaTheme="minorEastAsia" w:hAnsiTheme="minorEastAsia" w:hint="eastAsia"/>
          <w:sz w:val="20"/>
          <w:lang w:eastAsia="ko-KR"/>
        </w:rPr>
        <w:t>(연방관보 72권 7941 페이지)에서 FDA는 자외선차단제-방충제 조합 제품, 특히 FDA가 자외선차단제-방충제 조합 제품의 시판 조건을 추가하기 위해 OTC 자외선차단제 모노그래프를 개정해야 하는지 여부에 대한 대중의 의견을 구하는 공고(FDA 데이터 요청 또는 데이터 요청)를 발행했다. 데이터 요청은 자외선차단제 및 방충제 둘 다의 규제 상태 및 이력을 요약했으며, 여러 문제에 대한 대중의 의견을 구했다(표 6 참조). 같은 날(2007년 2월 22일, 연방관보 79권 7979 페이지) EPA는 방충제-자외선차단제 조합 제품을 어떻게 규제해야 할지 결정하기 위해 정보를 요청한다는 유사한 공고를 고시했다.</w:t>
      </w:r>
    </w:p>
    <w:p w14:paraId="0C649224" w14:textId="5B4B93F3"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7D77BD65" w14:textId="727332A8" w:rsidR="00E00EEF" w:rsidRPr="002C7F14" w:rsidRDefault="008E4E2D" w:rsidP="008E4E2D">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표</w:t>
      </w:r>
      <w:r w:rsidRPr="002C7F14">
        <w:rPr>
          <w:rFonts w:asciiTheme="minorEastAsia" w:eastAsiaTheme="minorEastAsia" w:hAnsiTheme="minorEastAsia" w:cs="맑은 고딕"/>
          <w:sz w:val="20"/>
          <w:szCs w:val="20"/>
          <w:lang w:eastAsia="ko-KR"/>
        </w:rPr>
        <w:t xml:space="preserve"> </w:t>
      </w:r>
      <w:proofErr w:type="gramStart"/>
      <w:r w:rsidRPr="002C7F14">
        <w:rPr>
          <w:rFonts w:asciiTheme="minorEastAsia" w:eastAsiaTheme="minorEastAsia" w:hAnsiTheme="minorEastAsia" w:cs="맑은 고딕"/>
          <w:sz w:val="20"/>
          <w:szCs w:val="20"/>
          <w:lang w:eastAsia="ko-KR"/>
        </w:rPr>
        <w:t>6.--</w:t>
      </w:r>
      <w:proofErr w:type="gramEnd"/>
      <w:r w:rsidRPr="002C7F14">
        <w:rPr>
          <w:rFonts w:asciiTheme="minorEastAsia" w:eastAsiaTheme="minorEastAsia" w:hAnsiTheme="minorEastAsia" w:cs="맑은 고딕"/>
          <w:sz w:val="20"/>
          <w:szCs w:val="20"/>
          <w:lang w:eastAsia="ko-KR"/>
        </w:rPr>
        <w:t xml:space="preserve"> 2007</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FDA </w:t>
      </w:r>
      <w:r w:rsidRPr="002C7F14">
        <w:rPr>
          <w:rFonts w:asciiTheme="minorEastAsia" w:eastAsiaTheme="minorEastAsia" w:hAnsiTheme="minorEastAsia" w:cs="맑은 고딕" w:hint="eastAsia"/>
          <w:sz w:val="20"/>
          <w:szCs w:val="20"/>
          <w:lang w:eastAsia="ko-KR"/>
        </w:rPr>
        <w:t>데이터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요청의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요청</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3190"/>
        <w:gridCol w:w="6161"/>
      </w:tblGrid>
      <w:tr w:rsidR="008E4E2D" w:rsidRPr="002C7F14" w14:paraId="16BBC98C" w14:textId="77777777" w:rsidTr="008E4E2D">
        <w:trPr>
          <w:trHeight w:val="318"/>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D89B035" w14:textId="77777777" w:rsidR="008E4E2D" w:rsidRPr="002C7F14" w:rsidRDefault="008E4E2D" w:rsidP="008E4E2D">
            <w:pPr>
              <w:pStyle w:val="a9"/>
              <w:jc w:val="center"/>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일반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w:t>
            </w:r>
          </w:p>
        </w:tc>
        <w:tc>
          <w:tcPr>
            <w:tcW w:w="6161" w:type="dxa"/>
            <w:tcBorders>
              <w:top w:val="single" w:sz="4" w:space="0" w:color="000000"/>
              <w:left w:val="single" w:sz="4" w:space="0" w:color="000000"/>
              <w:bottom w:val="single" w:sz="4" w:space="0" w:color="000000"/>
              <w:right w:val="single" w:sz="4" w:space="0" w:color="000000"/>
            </w:tcBorders>
            <w:vAlign w:val="center"/>
            <w:hideMark/>
          </w:tcPr>
          <w:p w14:paraId="2639E967" w14:textId="77777777" w:rsidR="008E4E2D" w:rsidRPr="002C7F14" w:rsidRDefault="008E4E2D" w:rsidP="008E4E2D">
            <w:pPr>
              <w:pStyle w:val="a9"/>
              <w:jc w:val="center"/>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주요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우려사항</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w:t>
            </w:r>
          </w:p>
        </w:tc>
      </w:tr>
      <w:tr w:rsidR="008E4E2D" w:rsidRPr="002C7F14" w14:paraId="3CE01A80" w14:textId="77777777" w:rsidTr="008E4E2D">
        <w:trPr>
          <w:trHeight w:val="3328"/>
        </w:trPr>
        <w:tc>
          <w:tcPr>
            <w:tcW w:w="3190" w:type="dxa"/>
            <w:tcBorders>
              <w:top w:val="single" w:sz="4" w:space="0" w:color="000000"/>
              <w:left w:val="single" w:sz="4" w:space="0" w:color="000000"/>
              <w:bottom w:val="single" w:sz="4" w:space="0" w:color="000000"/>
              <w:right w:val="single" w:sz="4" w:space="0" w:color="000000"/>
            </w:tcBorders>
            <w:hideMark/>
          </w:tcPr>
          <w:p w14:paraId="3D2FAB05"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제조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p>
        </w:tc>
        <w:tc>
          <w:tcPr>
            <w:tcW w:w="6161" w:type="dxa"/>
            <w:tcBorders>
              <w:top w:val="single" w:sz="4" w:space="0" w:color="000000"/>
              <w:left w:val="single" w:sz="4" w:space="0" w:color="000000"/>
              <w:bottom w:val="single" w:sz="4" w:space="0" w:color="000000"/>
              <w:right w:val="single" w:sz="4" w:space="0" w:color="000000"/>
            </w:tcBorders>
          </w:tcPr>
          <w:p w14:paraId="68C0AA44"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FDA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알려진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어떻게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해결할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요청했다</w:t>
            </w:r>
            <w:r w:rsidRPr="002C7F14">
              <w:rPr>
                <w:rFonts w:asciiTheme="minorEastAsia" w:eastAsiaTheme="minorEastAsia" w:hAnsiTheme="minorEastAsia"/>
                <w:sz w:val="20"/>
                <w:lang w:eastAsia="ko-KR"/>
              </w:rPr>
              <w:t>.</w:t>
            </w:r>
          </w:p>
          <w:p w14:paraId="4250EF89" w14:textId="77777777" w:rsidR="008E4E2D" w:rsidRPr="002C7F14" w:rsidRDefault="008E4E2D" w:rsidP="008E4E2D">
            <w:pPr>
              <w:pStyle w:val="a9"/>
              <w:jc w:val="both"/>
              <w:rPr>
                <w:rFonts w:asciiTheme="minorEastAsia" w:eastAsiaTheme="minorEastAsia" w:hAnsiTheme="minorEastAsia"/>
                <w:sz w:val="20"/>
                <w:lang w:eastAsia="ko-KR"/>
              </w:rPr>
            </w:pPr>
          </w:p>
          <w:p w14:paraId="360225C6"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확정할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등록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어떻게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다루어야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하는지</w:t>
            </w:r>
            <w:r w:rsidRPr="002C7F14">
              <w:rPr>
                <w:rFonts w:asciiTheme="minorEastAsia" w:eastAsiaTheme="minorEastAsia" w:hAnsiTheme="minorEastAsia"/>
                <w:sz w:val="20"/>
                <w:lang w:eastAsia="ko-KR"/>
              </w:rPr>
              <w:t>, FDA</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유지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제거해야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문의했다</w:t>
            </w:r>
            <w:r w:rsidRPr="002C7F14">
              <w:rPr>
                <w:rFonts w:asciiTheme="minorEastAsia" w:eastAsiaTheme="minorEastAsia" w:hAnsiTheme="minorEastAsia"/>
                <w:sz w:val="20"/>
                <w:lang w:eastAsia="ko-KR"/>
              </w:rPr>
              <w:t>.</w:t>
            </w:r>
          </w:p>
          <w:p w14:paraId="0B6FEFF4" w14:textId="77777777" w:rsidR="008E4E2D" w:rsidRPr="002C7F14" w:rsidRDefault="008E4E2D" w:rsidP="008E4E2D">
            <w:pPr>
              <w:pStyle w:val="a9"/>
              <w:jc w:val="both"/>
              <w:rPr>
                <w:rFonts w:asciiTheme="minorEastAsia" w:eastAsiaTheme="minorEastAsia" w:hAnsiTheme="minorEastAsia"/>
                <w:sz w:val="20"/>
                <w:lang w:eastAsia="ko-KR"/>
              </w:rPr>
            </w:pPr>
          </w:p>
          <w:p w14:paraId="60552101"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제조업자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문의했다</w:t>
            </w:r>
            <w:r w:rsidRPr="002C7F14">
              <w:rPr>
                <w:rFonts w:asciiTheme="minorEastAsia" w:eastAsiaTheme="minorEastAsia" w:hAnsiTheme="minorEastAsia"/>
                <w:sz w:val="20"/>
                <w:lang w:eastAsia="ko-KR"/>
              </w:rPr>
              <w:t>.</w:t>
            </w:r>
          </w:p>
        </w:tc>
      </w:tr>
      <w:tr w:rsidR="008E4E2D" w:rsidRPr="002C7F14" w14:paraId="2FC84CE6" w14:textId="77777777" w:rsidTr="008E4E2D">
        <w:trPr>
          <w:trHeight w:val="635"/>
        </w:trPr>
        <w:tc>
          <w:tcPr>
            <w:tcW w:w="3190" w:type="dxa"/>
            <w:tcBorders>
              <w:top w:val="single" w:sz="4" w:space="0" w:color="000000"/>
              <w:left w:val="single" w:sz="4" w:space="0" w:color="000000"/>
              <w:bottom w:val="single" w:sz="4" w:space="0" w:color="000000"/>
              <w:right w:val="single" w:sz="4" w:space="0" w:color="000000"/>
            </w:tcBorders>
            <w:hideMark/>
          </w:tcPr>
          <w:p w14:paraId="7C6572FE"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p>
        </w:tc>
        <w:tc>
          <w:tcPr>
            <w:tcW w:w="6161" w:type="dxa"/>
            <w:tcBorders>
              <w:top w:val="single" w:sz="4" w:space="0" w:color="000000"/>
              <w:left w:val="single" w:sz="4" w:space="0" w:color="000000"/>
              <w:bottom w:val="single" w:sz="4" w:space="0" w:color="000000"/>
              <w:right w:val="single" w:sz="4" w:space="0" w:color="000000"/>
            </w:tcBorders>
            <w:hideMark/>
          </w:tcPr>
          <w:p w14:paraId="5AF979F3"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출판된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중요성에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요청했다</w:t>
            </w:r>
            <w:r w:rsidRPr="002C7F14">
              <w:rPr>
                <w:rFonts w:asciiTheme="minorEastAsia" w:eastAsiaTheme="minorEastAsia" w:hAnsiTheme="minorEastAsia"/>
                <w:sz w:val="20"/>
                <w:lang w:eastAsia="ko-KR"/>
              </w:rPr>
              <w:t>.</w:t>
            </w:r>
          </w:p>
        </w:tc>
      </w:tr>
      <w:tr w:rsidR="008E4E2D" w:rsidRPr="002C7F14" w14:paraId="06C524F5" w14:textId="77777777" w:rsidTr="008E4E2D">
        <w:trPr>
          <w:trHeight w:val="246"/>
        </w:trPr>
        <w:tc>
          <w:tcPr>
            <w:tcW w:w="3190" w:type="dxa"/>
            <w:tcBorders>
              <w:top w:val="single" w:sz="4" w:space="0" w:color="000000"/>
              <w:left w:val="single" w:sz="4" w:space="0" w:color="000000"/>
              <w:bottom w:val="single" w:sz="4" w:space="0" w:color="000000"/>
              <w:right w:val="single" w:sz="4" w:space="0" w:color="000000"/>
            </w:tcBorders>
            <w:hideMark/>
          </w:tcPr>
          <w:p w14:paraId="323AE36E" w14:textId="22322C0F"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OTC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등록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r w:rsidRPr="002C7F14">
              <w:rPr>
                <w:rStyle w:val="a7"/>
                <w:rFonts w:asciiTheme="minorEastAsia" w:eastAsiaTheme="minorEastAsia" w:hAnsiTheme="minorEastAsia"/>
                <w:sz w:val="20"/>
                <w:lang w:eastAsia="ko-KR"/>
              </w:rPr>
              <w:footnoteReference w:id="70"/>
            </w:r>
          </w:p>
        </w:tc>
        <w:tc>
          <w:tcPr>
            <w:tcW w:w="6161" w:type="dxa"/>
            <w:tcBorders>
              <w:top w:val="single" w:sz="4" w:space="0" w:color="000000"/>
              <w:left w:val="single" w:sz="4" w:space="0" w:color="000000"/>
              <w:bottom w:val="single" w:sz="4" w:space="0" w:color="000000"/>
              <w:right w:val="single" w:sz="4" w:space="0" w:color="000000"/>
            </w:tcBorders>
            <w:hideMark/>
          </w:tcPr>
          <w:p w14:paraId="1833BE91" w14:textId="77777777"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차이점</w:t>
            </w:r>
            <w:r w:rsidRPr="002C7F14">
              <w:rPr>
                <w:rFonts w:asciiTheme="minorEastAsia" w:eastAsiaTheme="minorEastAsia" w:hAnsiTheme="minorEastAsia"/>
                <w:sz w:val="20"/>
                <w:lang w:eastAsia="ko-KR"/>
              </w:rPr>
              <w:t>:</w:t>
            </w:r>
          </w:p>
          <w:p w14:paraId="14227EB8"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사용하고</w:t>
            </w:r>
            <w:r w:rsidRPr="002C7F14">
              <w:rPr>
                <w:rFonts w:asciiTheme="minorEastAsia" w:eastAsiaTheme="minorEastAsia" w:hAnsiTheme="minorEastAsia"/>
                <w:sz w:val="20"/>
                <w:lang w:eastAsia="ko-KR"/>
              </w:rPr>
              <w:t>, EPA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주의</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하며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독성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수준을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나타낼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한다</w:t>
            </w:r>
            <w:r w:rsidRPr="002C7F14">
              <w:rPr>
                <w:rFonts w:asciiTheme="minorEastAsia" w:eastAsiaTheme="minorEastAsia" w:hAnsiTheme="minorEastAsia"/>
                <w:sz w:val="20"/>
                <w:lang w:eastAsia="ko-KR"/>
              </w:rPr>
              <w:t>.</w:t>
            </w:r>
          </w:p>
          <w:p w14:paraId="0A641B9C"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요구된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주의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제목에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w:t>
            </w:r>
          </w:p>
          <w:p w14:paraId="24F79771"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넉넉하고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빈번한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요구한다</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지침은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빈도를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제한할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w:t>
            </w:r>
          </w:p>
          <w:p w14:paraId="16843CBF" w14:textId="77777777" w:rsidR="008E4E2D" w:rsidRPr="002C7F14" w:rsidRDefault="008E4E2D" w:rsidP="003618BE">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부적절한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과다노출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과소노출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다양한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질문했다</w:t>
            </w:r>
            <w:r w:rsidRPr="002C7F14">
              <w:rPr>
                <w:rFonts w:asciiTheme="minorEastAsia" w:eastAsiaTheme="minorEastAsia" w:hAnsiTheme="minorEastAsia"/>
                <w:sz w:val="20"/>
                <w:lang w:eastAsia="ko-KR"/>
              </w:rPr>
              <w:t>.</w:t>
            </w:r>
          </w:p>
          <w:p w14:paraId="6A1B320B" w14:textId="77777777" w:rsidR="008E4E2D" w:rsidRPr="002C7F14" w:rsidRDefault="008E4E2D" w:rsidP="008E4E2D">
            <w:pPr>
              <w:pStyle w:val="a9"/>
              <w:jc w:val="both"/>
              <w:rPr>
                <w:rFonts w:asciiTheme="minorEastAsia" w:eastAsiaTheme="minorEastAsia" w:hAnsiTheme="minorEastAsia"/>
                <w:sz w:val="20"/>
                <w:lang w:eastAsia="ko-KR"/>
              </w:rPr>
            </w:pPr>
          </w:p>
          <w:p w14:paraId="3D83DD14" w14:textId="305BB4DA"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포장의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외부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포장지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직접</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열거하도록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요구한다</w:t>
            </w:r>
            <w:r w:rsidRPr="002C7F14">
              <w:rPr>
                <w:rFonts w:asciiTheme="minorEastAsia" w:eastAsiaTheme="minorEastAsia" w:hAnsiTheme="minorEastAsia"/>
                <w:sz w:val="20"/>
                <w:lang w:eastAsia="ko-KR"/>
              </w:rPr>
              <w:t>(FD&amp;C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502(e)(1)(A)(iii)</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201.66(c)</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EPA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열거하도록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열거된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제외하고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개별적으로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식별할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w:t>
            </w:r>
            <w:r w:rsidRPr="002C7F14">
              <w:rPr>
                <w:rFonts w:asciiTheme="minorEastAsia" w:eastAsiaTheme="minorEastAsia" w:hAnsiTheme="minorEastAsia"/>
                <w:sz w:val="20"/>
                <w:lang w:eastAsia="ko-KR"/>
              </w:rPr>
              <w:t>. FD&amp;C</w:t>
            </w:r>
            <w:r w:rsidRPr="002C7F14">
              <w:rPr>
                <w:rFonts w:asciiTheme="minorEastAsia" w:eastAsiaTheme="minorEastAsia" w:hAnsiTheme="minorEastAsia" w:hint="eastAsia"/>
                <w:sz w:val="20"/>
                <w:lang w:eastAsia="ko-KR"/>
              </w:rPr>
              <w:t>법과</w:t>
            </w:r>
            <w:r w:rsidRPr="002C7F14">
              <w:rPr>
                <w:rFonts w:asciiTheme="minorEastAsia" w:eastAsiaTheme="minorEastAsia" w:hAnsiTheme="minorEastAsia"/>
                <w:sz w:val="20"/>
                <w:lang w:eastAsia="ko-KR"/>
              </w:rPr>
              <w:t xml:space="preserve"> FIFRA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충족하는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방식으로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w:t>
            </w:r>
            <w:r w:rsidRPr="002C7F14">
              <w:rPr>
                <w:rFonts w:asciiTheme="minorEastAsia" w:eastAsiaTheme="minorEastAsia" w:hAnsiTheme="minorEastAsia"/>
                <w:sz w:val="20"/>
                <w:lang w:eastAsia="ko-KR"/>
              </w:rPr>
              <w:t>, FIFRA</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성분이</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동등한지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여부를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질문했다</w:t>
            </w:r>
            <w:r w:rsidRPr="002C7F14">
              <w:rPr>
                <w:rFonts w:asciiTheme="minorEastAsia" w:eastAsiaTheme="minorEastAsia" w:hAnsiTheme="minorEastAsia"/>
                <w:sz w:val="20"/>
                <w:lang w:eastAsia="ko-KR"/>
              </w:rPr>
              <w:t>.</w:t>
            </w:r>
          </w:p>
        </w:tc>
      </w:tr>
      <w:tr w:rsidR="008E4E2D" w:rsidRPr="002C7F14" w14:paraId="54CE9A86" w14:textId="77777777" w:rsidTr="008E4E2D">
        <w:trPr>
          <w:trHeight w:val="246"/>
        </w:trPr>
        <w:tc>
          <w:tcPr>
            <w:tcW w:w="3190" w:type="dxa"/>
            <w:tcBorders>
              <w:top w:val="single" w:sz="4" w:space="0" w:color="000000"/>
              <w:left w:val="single" w:sz="4" w:space="0" w:color="000000"/>
              <w:bottom w:val="single" w:sz="4" w:space="0" w:color="000000"/>
              <w:right w:val="single" w:sz="4" w:space="0" w:color="000000"/>
            </w:tcBorders>
          </w:tcPr>
          <w:p w14:paraId="66F57611" w14:textId="4EDA3C4E"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안전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w:t>
            </w:r>
          </w:p>
        </w:tc>
        <w:tc>
          <w:tcPr>
            <w:tcW w:w="6161" w:type="dxa"/>
            <w:tcBorders>
              <w:top w:val="single" w:sz="4" w:space="0" w:color="000000"/>
              <w:left w:val="single" w:sz="4" w:space="0" w:color="000000"/>
              <w:bottom w:val="single" w:sz="4" w:space="0" w:color="000000"/>
              <w:right w:val="single" w:sz="4" w:space="0" w:color="000000"/>
            </w:tcBorders>
          </w:tcPr>
          <w:p w14:paraId="25485308" w14:textId="77777777" w:rsidR="008E4E2D" w:rsidRPr="002C7F14" w:rsidRDefault="008E4E2D" w:rsidP="008E4E2D">
            <w:pPr>
              <w:pStyle w:val="TableParagraph"/>
              <w:spacing w:line="276" w:lineRule="auto"/>
              <w:ind w:right="183"/>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DEET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다양한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증가한다는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실험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감안할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필요하다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요청했다</w:t>
            </w:r>
            <w:r w:rsidRPr="002C7F14">
              <w:rPr>
                <w:rFonts w:asciiTheme="minorEastAsia" w:eastAsiaTheme="minorEastAsia" w:hAnsiTheme="minorEastAsia"/>
                <w:sz w:val="20"/>
                <w:lang w:eastAsia="ko-KR"/>
              </w:rPr>
              <w:t>.</w:t>
            </w:r>
          </w:p>
          <w:p w14:paraId="62A61373" w14:textId="77777777" w:rsidR="008E4E2D" w:rsidRPr="002C7F14" w:rsidRDefault="008E4E2D" w:rsidP="008E4E2D">
            <w:pPr>
              <w:pStyle w:val="TableParagraph"/>
              <w:spacing w:line="276" w:lineRule="auto"/>
              <w:ind w:left="0" w:right="183"/>
              <w:rPr>
                <w:rFonts w:asciiTheme="minorEastAsia" w:eastAsiaTheme="minorEastAsia" w:hAnsiTheme="minorEastAsia"/>
                <w:sz w:val="20"/>
                <w:lang w:eastAsia="ko-KR"/>
              </w:rPr>
            </w:pPr>
          </w:p>
          <w:p w14:paraId="18450FCD" w14:textId="77777777" w:rsidR="008E4E2D" w:rsidRPr="002C7F14" w:rsidRDefault="008E4E2D" w:rsidP="008E4E2D">
            <w:pPr>
              <w:pStyle w:val="TableParagraph"/>
              <w:spacing w:line="276" w:lineRule="auto"/>
              <w:ind w:right="183"/>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증가하는지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요청했다</w:t>
            </w:r>
            <w:r w:rsidRPr="002C7F14">
              <w:rPr>
                <w:rFonts w:asciiTheme="minorEastAsia" w:eastAsiaTheme="minorEastAsia" w:hAnsiTheme="minorEastAsia"/>
                <w:sz w:val="20"/>
                <w:lang w:eastAsia="ko-KR"/>
              </w:rPr>
              <w:t>.</w:t>
            </w:r>
          </w:p>
          <w:p w14:paraId="2C7BE9F7" w14:textId="77777777" w:rsidR="008E4E2D" w:rsidRPr="002C7F14" w:rsidRDefault="008E4E2D" w:rsidP="008E4E2D">
            <w:pPr>
              <w:pStyle w:val="TableParagraph"/>
              <w:spacing w:before="9"/>
              <w:ind w:left="0"/>
              <w:rPr>
                <w:rFonts w:asciiTheme="minorEastAsia" w:eastAsiaTheme="minorEastAsia" w:hAnsiTheme="minorEastAsia"/>
                <w:sz w:val="20"/>
                <w:lang w:eastAsia="ko-KR"/>
              </w:rPr>
            </w:pPr>
          </w:p>
          <w:p w14:paraId="71BF5938" w14:textId="28CB6EF1"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자극</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필요하다</w:t>
            </w:r>
            <w:r w:rsidRPr="002C7F14">
              <w:rPr>
                <w:rFonts w:asciiTheme="minorEastAsia" w:eastAsiaTheme="minorEastAsia" w:hAnsiTheme="minorEastAsia"/>
                <w:sz w:val="20"/>
                <w:lang w:eastAsia="ko-KR"/>
              </w:rPr>
              <w:t>.</w:t>
            </w:r>
          </w:p>
        </w:tc>
      </w:tr>
      <w:tr w:rsidR="008E4E2D" w:rsidRPr="002C7F14" w14:paraId="4B692FB7" w14:textId="77777777" w:rsidTr="008E4E2D">
        <w:trPr>
          <w:trHeight w:val="246"/>
        </w:trPr>
        <w:tc>
          <w:tcPr>
            <w:tcW w:w="3190" w:type="dxa"/>
            <w:tcBorders>
              <w:top w:val="single" w:sz="4" w:space="0" w:color="000000"/>
              <w:left w:val="single" w:sz="4" w:space="0" w:color="000000"/>
              <w:bottom w:val="single" w:sz="4" w:space="0" w:color="000000"/>
              <w:right w:val="single" w:sz="4" w:space="0" w:color="000000"/>
            </w:tcBorders>
          </w:tcPr>
          <w:p w14:paraId="166CF148" w14:textId="1F6BCE99" w:rsidR="008E4E2D" w:rsidRPr="002C7F14" w:rsidRDefault="008E4E2D" w:rsidP="008E4E2D">
            <w:pPr>
              <w:pStyle w:val="a9"/>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효과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w:t>
            </w:r>
          </w:p>
        </w:tc>
        <w:tc>
          <w:tcPr>
            <w:tcW w:w="6161" w:type="dxa"/>
            <w:tcBorders>
              <w:top w:val="single" w:sz="4" w:space="0" w:color="000000"/>
              <w:left w:val="single" w:sz="4" w:space="0" w:color="000000"/>
              <w:bottom w:val="single" w:sz="4" w:space="0" w:color="000000"/>
              <w:right w:val="single" w:sz="4" w:space="0" w:color="000000"/>
            </w:tcBorders>
          </w:tcPr>
          <w:p w14:paraId="05E17C28" w14:textId="77777777" w:rsidR="008E4E2D" w:rsidRPr="002C7F14" w:rsidRDefault="008E4E2D" w:rsidP="008E4E2D">
            <w:pPr>
              <w:pStyle w:val="TableParagraph"/>
              <w:spacing w:line="275" w:lineRule="exact"/>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다음에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요청했다</w:t>
            </w:r>
            <w:r w:rsidRPr="002C7F14">
              <w:rPr>
                <w:rFonts w:asciiTheme="minorEastAsia" w:eastAsiaTheme="minorEastAsia" w:hAnsiTheme="minorEastAsia"/>
                <w:sz w:val="20"/>
                <w:lang w:eastAsia="ko-KR"/>
              </w:rPr>
              <w:t>.</w:t>
            </w:r>
          </w:p>
          <w:p w14:paraId="3664C354"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방충제가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SPF</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일관되지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재적용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간격으로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효능이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감소하거나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p>
          <w:p w14:paraId="52A63B37"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화학적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물리적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비호환성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p>
          <w:p w14:paraId="58E1F787"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SPF</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지정해야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필요성</w:t>
            </w:r>
          </w:p>
          <w:p w14:paraId="2446DAC1" w14:textId="77777777"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편의성을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제외하고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이점</w:t>
            </w:r>
          </w:p>
          <w:p w14:paraId="6C71236E" w14:textId="4D42F0C2" w:rsidR="008E4E2D" w:rsidRPr="002C7F14" w:rsidRDefault="008E4E2D" w:rsidP="008E4E2D">
            <w:pPr>
              <w:pStyle w:val="a9"/>
              <w:numPr>
                <w:ilvl w:val="0"/>
                <w:numId w:val="30"/>
              </w:numPr>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적용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최소화하기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w:t>
            </w:r>
          </w:p>
        </w:tc>
      </w:tr>
    </w:tbl>
    <w:p w14:paraId="0E9DFAE7" w14:textId="5DAF347A" w:rsidR="00E00EEF" w:rsidRPr="002C7F14" w:rsidRDefault="00E00EEF" w:rsidP="00EF791F">
      <w:pPr>
        <w:spacing w:line="264" w:lineRule="auto"/>
        <w:jc w:val="both"/>
        <w:rPr>
          <w:rFonts w:asciiTheme="minorEastAsia" w:eastAsiaTheme="minorEastAsia" w:hAnsiTheme="minorEastAsia" w:cs="맑은 고딕"/>
          <w:sz w:val="20"/>
          <w:szCs w:val="20"/>
          <w:lang w:eastAsia="ko-KR"/>
        </w:rPr>
      </w:pPr>
    </w:p>
    <w:p w14:paraId="0F919370" w14:textId="77777777" w:rsidR="00D00195" w:rsidRPr="002C7F14" w:rsidRDefault="00D00195" w:rsidP="00D00195">
      <w:pPr>
        <w:pStyle w:val="a8"/>
        <w:numPr>
          <w:ilvl w:val="0"/>
          <w:numId w:val="29"/>
        </w:numPr>
        <w:spacing w:afterLines="100" w:after="240" w:line="264" w:lineRule="auto"/>
        <w:ind w:leftChars="0" w:left="2955" w:hanging="403"/>
        <w:jc w:val="both"/>
        <w:rPr>
          <w:rFonts w:asciiTheme="minorEastAsia" w:eastAsiaTheme="minorEastAsia" w:hAnsiTheme="minorEastAsia"/>
          <w:i/>
          <w:sz w:val="20"/>
          <w:szCs w:val="20"/>
          <w:lang w:eastAsia="ko-KR"/>
        </w:rPr>
      </w:pPr>
      <w:r w:rsidRPr="002C7F14">
        <w:rPr>
          <w:rFonts w:asciiTheme="minorEastAsia" w:eastAsiaTheme="minorEastAsia" w:hAnsiTheme="minorEastAsia" w:hint="eastAsia"/>
          <w:i/>
          <w:sz w:val="20"/>
          <w:szCs w:val="20"/>
          <w:lang w:eastAsia="ko-KR"/>
        </w:rPr>
        <w:t>자외선차단제</w:t>
      </w:r>
      <w:r w:rsidRPr="002C7F14">
        <w:rPr>
          <w:rFonts w:asciiTheme="minorEastAsia" w:eastAsiaTheme="minorEastAsia" w:hAnsiTheme="minorEastAsia"/>
          <w:i/>
          <w:sz w:val="20"/>
          <w:szCs w:val="20"/>
          <w:lang w:eastAsia="ko-KR"/>
        </w:rPr>
        <w:t>-</w:t>
      </w:r>
      <w:r w:rsidRPr="002C7F14">
        <w:rPr>
          <w:rFonts w:asciiTheme="minorEastAsia" w:eastAsiaTheme="minorEastAsia" w:hAnsiTheme="minorEastAsia" w:hint="eastAsia"/>
          <w:i/>
          <w:sz w:val="20"/>
          <w:szCs w:val="20"/>
          <w:lang w:eastAsia="ko-KR"/>
        </w:rPr>
        <w:t>방충제</w:t>
      </w:r>
      <w:r w:rsidRPr="002C7F14">
        <w:rPr>
          <w:rFonts w:asciiTheme="minorEastAsia" w:eastAsiaTheme="minorEastAsia" w:hAnsiTheme="minorEastAsia"/>
          <w:i/>
          <w:sz w:val="20"/>
          <w:szCs w:val="20"/>
          <w:lang w:eastAsia="ko-KR"/>
        </w:rPr>
        <w:t xml:space="preserve"> </w:t>
      </w:r>
      <w:r w:rsidRPr="002C7F14">
        <w:rPr>
          <w:rFonts w:asciiTheme="minorEastAsia" w:eastAsiaTheme="minorEastAsia" w:hAnsiTheme="minorEastAsia" w:hint="eastAsia"/>
          <w:i/>
          <w:sz w:val="20"/>
          <w:szCs w:val="20"/>
          <w:lang w:eastAsia="ko-KR"/>
        </w:rPr>
        <w:t>조합</w:t>
      </w:r>
      <w:r w:rsidRPr="002C7F14">
        <w:rPr>
          <w:rFonts w:asciiTheme="minorEastAsia" w:eastAsiaTheme="minorEastAsia" w:hAnsiTheme="minorEastAsia"/>
          <w:i/>
          <w:sz w:val="20"/>
          <w:szCs w:val="20"/>
          <w:lang w:eastAsia="ko-KR"/>
        </w:rPr>
        <w:t xml:space="preserve"> </w:t>
      </w:r>
      <w:r w:rsidRPr="002C7F14">
        <w:rPr>
          <w:rFonts w:asciiTheme="minorEastAsia" w:eastAsiaTheme="minorEastAsia" w:hAnsiTheme="minorEastAsia" w:hint="eastAsia"/>
          <w:i/>
          <w:sz w:val="20"/>
          <w:szCs w:val="20"/>
          <w:lang w:eastAsia="ko-KR"/>
        </w:rPr>
        <w:t>제품에</w:t>
      </w:r>
      <w:r w:rsidRPr="002C7F14">
        <w:rPr>
          <w:rFonts w:asciiTheme="minorEastAsia" w:eastAsiaTheme="minorEastAsia" w:hAnsiTheme="minorEastAsia"/>
          <w:i/>
          <w:sz w:val="20"/>
          <w:szCs w:val="20"/>
          <w:lang w:eastAsia="ko-KR"/>
        </w:rPr>
        <w:t xml:space="preserve"> </w:t>
      </w:r>
      <w:r w:rsidRPr="002C7F14">
        <w:rPr>
          <w:rFonts w:asciiTheme="minorEastAsia" w:eastAsiaTheme="minorEastAsia" w:hAnsiTheme="minorEastAsia" w:hint="eastAsia"/>
          <w:i/>
          <w:sz w:val="20"/>
          <w:szCs w:val="20"/>
          <w:lang w:eastAsia="ko-KR"/>
        </w:rPr>
        <w:t>대한</w:t>
      </w:r>
      <w:r w:rsidRPr="002C7F14">
        <w:rPr>
          <w:rFonts w:asciiTheme="minorEastAsia" w:eastAsiaTheme="minorEastAsia" w:hAnsiTheme="minorEastAsia"/>
          <w:i/>
          <w:sz w:val="20"/>
          <w:szCs w:val="20"/>
          <w:lang w:eastAsia="ko-KR"/>
        </w:rPr>
        <w:t xml:space="preserve"> FDA</w:t>
      </w:r>
      <w:r w:rsidRPr="002C7F14">
        <w:rPr>
          <w:rFonts w:asciiTheme="minorEastAsia" w:eastAsiaTheme="minorEastAsia" w:hAnsiTheme="minorEastAsia" w:hint="eastAsia"/>
          <w:i/>
          <w:sz w:val="20"/>
          <w:szCs w:val="20"/>
          <w:lang w:eastAsia="ko-KR"/>
        </w:rPr>
        <w:t>의</w:t>
      </w:r>
      <w:r w:rsidRPr="002C7F14">
        <w:rPr>
          <w:rFonts w:asciiTheme="minorEastAsia" w:eastAsiaTheme="minorEastAsia" w:hAnsiTheme="minorEastAsia"/>
          <w:i/>
          <w:sz w:val="20"/>
          <w:szCs w:val="20"/>
          <w:lang w:eastAsia="ko-KR"/>
        </w:rPr>
        <w:t xml:space="preserve"> </w:t>
      </w:r>
      <w:r w:rsidRPr="002C7F14">
        <w:rPr>
          <w:rFonts w:asciiTheme="minorEastAsia" w:eastAsiaTheme="minorEastAsia" w:hAnsiTheme="minorEastAsia" w:hint="eastAsia"/>
          <w:i/>
          <w:sz w:val="20"/>
          <w:szCs w:val="20"/>
          <w:lang w:eastAsia="ko-KR"/>
        </w:rPr>
        <w:t>평가</w:t>
      </w:r>
    </w:p>
    <w:p w14:paraId="5ED1D91F" w14:textId="77777777" w:rsidR="00D00195" w:rsidRPr="002C7F14" w:rsidRDefault="00D00195" w:rsidP="00D00195">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의견뿐만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과학</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공개적으로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가능한</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규제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검토했다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규칙의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목적상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전문지식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권한에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따른다</w:t>
      </w:r>
      <w:r w:rsidRPr="002C7F14">
        <w:rPr>
          <w:rFonts w:asciiTheme="minorEastAsia" w:eastAsiaTheme="minorEastAsia" w:hAnsiTheme="minorEastAsia"/>
          <w:sz w:val="20"/>
          <w:lang w:eastAsia="ko-KR"/>
        </w:rPr>
        <w:t>. 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독립적으로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않았지만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상호작용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가능성에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초점을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맞추었다</w:t>
      </w:r>
      <w:r w:rsidRPr="002C7F14">
        <w:rPr>
          <w:rFonts w:asciiTheme="minorEastAsia" w:eastAsiaTheme="minorEastAsia" w:hAnsiTheme="minorEastAsia"/>
          <w:sz w:val="20"/>
          <w:lang w:eastAsia="ko-KR"/>
        </w:rPr>
        <w:t>.</w:t>
      </w:r>
    </w:p>
    <w:p w14:paraId="33836543" w14:textId="77777777" w:rsidR="00D00195" w:rsidRPr="002C7F14" w:rsidRDefault="00D00195" w:rsidP="008D3177">
      <w:pPr>
        <w:pStyle w:val="a9"/>
        <w:spacing w:line="264" w:lineRule="auto"/>
        <w:jc w:val="both"/>
        <w:rPr>
          <w:rFonts w:asciiTheme="minorEastAsia" w:eastAsiaTheme="minorEastAsia" w:hAnsiTheme="minorEastAsia"/>
          <w:sz w:val="20"/>
          <w:lang w:eastAsia="ko-KR"/>
        </w:rPr>
      </w:pPr>
    </w:p>
    <w:p w14:paraId="52D07D80" w14:textId="6B8D3A2A" w:rsidR="00D00195" w:rsidRPr="002C7F14" w:rsidRDefault="00D00195" w:rsidP="00D00195">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조정하여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보장하는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내렸다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이유로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방충제는</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201(p)(1)</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505G(b)(1)(C)(i)</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갖추지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못하므로</w:t>
      </w:r>
      <w:r w:rsidRPr="002C7F14">
        <w:rPr>
          <w:rFonts w:asciiTheme="minorEastAsia" w:eastAsiaTheme="minorEastAsia" w:hAnsiTheme="minorEastAsia"/>
          <w:sz w:val="20"/>
          <w:lang w:eastAsia="ko-KR"/>
        </w:rPr>
        <w:t>,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502(f)</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없었더라도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여전히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입증하기에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불충분하기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때문에</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505G(b)(1)(C)(ii)</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사용하기에</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내렸을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구체적으로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따르면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상호작용은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모두의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증가시켜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감소시킬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있으며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효능에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시너지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보인다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제한적이고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결정적이지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의문을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제기한다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이유는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이어지는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논의에서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자세히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설명한다</w:t>
      </w:r>
      <w:r w:rsidRPr="002C7F14">
        <w:rPr>
          <w:rFonts w:asciiTheme="minorEastAsia" w:eastAsiaTheme="minorEastAsia" w:hAnsiTheme="minorEastAsia"/>
          <w:sz w:val="20"/>
          <w:lang w:eastAsia="ko-KR"/>
        </w:rPr>
        <w:t>.</w:t>
      </w:r>
    </w:p>
    <w:p w14:paraId="236B8040" w14:textId="77777777" w:rsidR="00D00195" w:rsidRPr="002C7F14" w:rsidRDefault="00D00195" w:rsidP="008D3177">
      <w:pPr>
        <w:pStyle w:val="a9"/>
        <w:spacing w:line="264" w:lineRule="auto"/>
        <w:jc w:val="both"/>
        <w:rPr>
          <w:rFonts w:asciiTheme="minorEastAsia" w:eastAsiaTheme="minorEastAsia" w:hAnsiTheme="minorEastAsia"/>
          <w:sz w:val="20"/>
          <w:lang w:eastAsia="ko-KR"/>
        </w:rPr>
      </w:pPr>
    </w:p>
    <w:p w14:paraId="6E23EE8A" w14:textId="1E1BAD15" w:rsidR="00D00195" w:rsidRPr="002C7F14" w:rsidRDefault="00D00195" w:rsidP="008D3177">
      <w:pPr>
        <w:pStyle w:val="a8"/>
        <w:numPr>
          <w:ilvl w:val="0"/>
          <w:numId w:val="31"/>
        </w:numPr>
        <w:spacing w:afterLines="100" w:after="240" w:line="264" w:lineRule="auto"/>
        <w:ind w:leftChars="0" w:left="3544"/>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2007</w:t>
      </w:r>
      <w:r w:rsidRPr="002C7F14">
        <w:rPr>
          <w:rFonts w:asciiTheme="minorEastAsia" w:eastAsiaTheme="minorEastAsia" w:hAnsiTheme="minorEastAsia" w:cs="맑은 고딕" w:hint="eastAsia"/>
          <w:b/>
          <w:sz w:val="20"/>
          <w:szCs w:val="20"/>
          <w:lang w:eastAsia="ko-KR"/>
        </w:rPr>
        <w:t>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데이터</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요청에</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대한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대중의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의견</w:t>
      </w:r>
    </w:p>
    <w:p w14:paraId="7895D231" w14:textId="1E6138B3" w:rsidR="00D00195" w:rsidRPr="002C7F14" w:rsidRDefault="00D00195" w:rsidP="00D00195">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2007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응답으로</w:t>
      </w:r>
      <w:r w:rsidRPr="002C7F14">
        <w:rPr>
          <w:rFonts w:asciiTheme="minorEastAsia" w:eastAsiaTheme="minorEastAsia" w:hAnsiTheme="minorEastAsia"/>
          <w:sz w:val="20"/>
          <w:lang w:eastAsia="ko-KR"/>
        </w:rPr>
        <w:t xml:space="preserve"> 6</w:t>
      </w:r>
      <w:r w:rsidRPr="002C7F14">
        <w:rPr>
          <w:rFonts w:asciiTheme="minorEastAsia" w:eastAsiaTheme="minorEastAsia" w:hAnsiTheme="minorEastAsia" w:hint="eastAsia"/>
          <w:sz w:val="20"/>
          <w:lang w:eastAsia="ko-KR"/>
        </w:rPr>
        <w:t>건의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제출물을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접수했다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실질적인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않았지만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곳에서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출판된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과학</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의학</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문헌을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인용했다</w:t>
      </w:r>
      <w:r w:rsidRPr="002C7F14">
        <w:rPr>
          <w:rFonts w:asciiTheme="minorEastAsia" w:eastAsiaTheme="minorEastAsia" w:hAnsiTheme="minorEastAsia"/>
          <w:sz w:val="20"/>
          <w:lang w:eastAsia="ko-KR"/>
        </w:rPr>
        <w:t>. 6</w:t>
      </w:r>
      <w:r w:rsidRPr="002C7F14">
        <w:rPr>
          <w:rFonts w:asciiTheme="minorEastAsia" w:eastAsiaTheme="minorEastAsia" w:hAnsiTheme="minorEastAsia" w:hint="eastAsia"/>
          <w:sz w:val="20"/>
          <w:lang w:eastAsia="ko-KR"/>
        </w:rPr>
        <w:t>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중</w:t>
      </w:r>
      <w:r w:rsidRPr="002C7F14">
        <w:rPr>
          <w:rFonts w:asciiTheme="minorEastAsia" w:eastAsiaTheme="minorEastAsia" w:hAnsiTheme="minorEastAsia"/>
          <w:sz w:val="20"/>
          <w:lang w:eastAsia="ko-KR"/>
        </w:rPr>
        <w:t xml:space="preserve"> 5</w:t>
      </w:r>
      <w:r w:rsidRPr="002C7F14">
        <w:rPr>
          <w:rFonts w:asciiTheme="minorEastAsia" w:eastAsiaTheme="minorEastAsia" w:hAnsiTheme="minorEastAsia" w:hint="eastAsia"/>
          <w:sz w:val="20"/>
          <w:lang w:eastAsia="ko-KR"/>
        </w:rPr>
        <w:t>개는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제조업자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무역협회에서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제기되었다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업계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다루기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아마도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강화를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통해</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공동</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유지하고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당시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보류되었던</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자외선차단제 모노그래프를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개정하는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선호했다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업계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주장했다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의견은</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FDA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사실정보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면제를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허용하거나</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별도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배치하는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최소화하기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접근방식을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나머지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계속된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반대하고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어린이의</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노출에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강조한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의료협회에서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제출했다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지속적인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지지하는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업계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별도의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편리하고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효율적이라고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주장했다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예측할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낫다고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지적했다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복합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의문을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제기하는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인용된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다양한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결함이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주장했다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VI.E.v.2.III</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논의한다</w:t>
      </w:r>
      <w:r w:rsidRPr="002C7F14">
        <w:rPr>
          <w:rFonts w:asciiTheme="minorEastAsia" w:eastAsiaTheme="minorEastAsia" w:hAnsiTheme="minorEastAsia"/>
          <w:sz w:val="20"/>
          <w:lang w:eastAsia="ko-KR"/>
        </w:rPr>
        <w:t>).</w:t>
      </w:r>
    </w:p>
    <w:p w14:paraId="26AD9C76" w14:textId="77777777" w:rsidR="00D00195" w:rsidRPr="002C7F14" w:rsidRDefault="00D00195" w:rsidP="008D3177">
      <w:pPr>
        <w:pStyle w:val="a9"/>
        <w:spacing w:line="264" w:lineRule="auto"/>
        <w:jc w:val="both"/>
        <w:rPr>
          <w:rFonts w:asciiTheme="minorEastAsia" w:eastAsiaTheme="minorEastAsia" w:hAnsiTheme="minorEastAsia"/>
          <w:sz w:val="20"/>
          <w:lang w:eastAsia="ko-KR"/>
        </w:rPr>
      </w:pPr>
    </w:p>
    <w:p w14:paraId="6D581BAD" w14:textId="77777777" w:rsidR="00D00195" w:rsidRPr="002C7F14" w:rsidRDefault="00D00195" w:rsidP="00D00195">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일반적으로</w:t>
      </w:r>
      <w:r w:rsidRPr="002C7F14">
        <w:rPr>
          <w:rFonts w:asciiTheme="minorEastAsia" w:eastAsiaTheme="minorEastAsia" w:hAnsiTheme="minorEastAsia"/>
          <w:sz w:val="20"/>
          <w:lang w:eastAsia="ko-KR"/>
        </w:rPr>
        <w:t xml:space="preserve"> 2007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응답으로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접수한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첨부하거나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뒷받침되지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않았다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식별하지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않았지만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FDA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해결하지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못했다</w:t>
      </w:r>
      <w:r w:rsidRPr="002C7F14">
        <w:rPr>
          <w:rFonts w:asciiTheme="minorEastAsia" w:eastAsiaTheme="minorEastAsia" w:hAnsiTheme="minorEastAsia"/>
          <w:sz w:val="20"/>
          <w:lang w:eastAsia="ko-KR"/>
        </w:rPr>
        <w:t>. 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첨가된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뒷받침하기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갱신한다</w:t>
      </w:r>
      <w:r w:rsidRPr="002C7F14">
        <w:rPr>
          <w:rFonts w:asciiTheme="minorEastAsia" w:eastAsiaTheme="minorEastAsia" w:hAnsiTheme="minorEastAsia"/>
          <w:sz w:val="20"/>
          <w:lang w:eastAsia="ko-KR"/>
        </w:rPr>
        <w:t xml:space="preserve">. </w:t>
      </w:r>
    </w:p>
    <w:p w14:paraId="682AC09E" w14:textId="77777777" w:rsidR="00D00195" w:rsidRPr="002C7F14" w:rsidRDefault="00D00195" w:rsidP="008D3177">
      <w:pPr>
        <w:pStyle w:val="a9"/>
        <w:spacing w:line="264" w:lineRule="auto"/>
        <w:jc w:val="both"/>
        <w:rPr>
          <w:rFonts w:asciiTheme="minorEastAsia" w:eastAsiaTheme="minorEastAsia" w:hAnsiTheme="minorEastAsia"/>
          <w:sz w:val="20"/>
          <w:lang w:eastAsia="ko-KR"/>
        </w:rPr>
      </w:pPr>
    </w:p>
    <w:p w14:paraId="4B2C6881" w14:textId="77777777" w:rsidR="00D00195" w:rsidRPr="002C7F14" w:rsidRDefault="00D00195" w:rsidP="008D3177">
      <w:pPr>
        <w:pStyle w:val="a8"/>
        <w:numPr>
          <w:ilvl w:val="0"/>
          <w:numId w:val="31"/>
        </w:numPr>
        <w:spacing w:afterLines="100" w:after="240" w:line="264" w:lineRule="auto"/>
        <w:ind w:leftChars="0" w:left="3544"/>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자외선차단제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및</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방충제의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필수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라벨링</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차이</w:t>
      </w:r>
    </w:p>
    <w:p w14:paraId="01B2076A" w14:textId="11053181" w:rsidR="00D00195" w:rsidRPr="002C7F14" w:rsidRDefault="00D00195" w:rsidP="00D00195">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각각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비처방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형식과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규제한다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비처방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규제하는</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요구사항은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w:t>
      </w:r>
      <w:r w:rsidRPr="002C7F14">
        <w:rPr>
          <w:rFonts w:asciiTheme="minorEastAsia" w:eastAsiaTheme="minorEastAsia" w:hAnsiTheme="minorEastAsia" w:hint="eastAsia"/>
          <w:sz w:val="20"/>
          <w:lang w:eastAsia="ko-KR"/>
        </w:rPr>
        <w:t>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하위부</w:t>
      </w:r>
      <w:r w:rsidRPr="002C7F14">
        <w:rPr>
          <w:rFonts w:asciiTheme="minorEastAsia" w:eastAsiaTheme="minorEastAsia" w:hAnsiTheme="minorEastAsia"/>
          <w:sz w:val="20"/>
          <w:lang w:eastAsia="ko-KR"/>
        </w:rPr>
        <w:t xml:space="preserve"> A</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w:t>
      </w:r>
      <w:r w:rsidRPr="002C7F14">
        <w:rPr>
          <w:rFonts w:asciiTheme="minorEastAsia" w:eastAsiaTheme="minorEastAsia" w:hAnsiTheme="minorEastAsia" w:hint="eastAsia"/>
          <w:sz w:val="20"/>
          <w:lang w:eastAsia="ko-KR"/>
        </w:rPr>
        <w:t>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하위부</w:t>
      </w:r>
      <w:r w:rsidRPr="002C7F14">
        <w:rPr>
          <w:rFonts w:asciiTheme="minorEastAsia" w:eastAsiaTheme="minorEastAsia" w:hAnsiTheme="minorEastAsia"/>
          <w:sz w:val="20"/>
          <w:lang w:eastAsia="ko-KR"/>
        </w:rPr>
        <w:t xml:space="preserve"> C</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사실정보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기타</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w:t>
      </w:r>
      <w:r w:rsidRPr="002C7F14">
        <w:rPr>
          <w:rFonts w:asciiTheme="minorEastAsia" w:eastAsiaTheme="minorEastAsia" w:hAnsiTheme="minorEastAsia"/>
          <w:sz w:val="20"/>
          <w:lang w:eastAsia="ko-KR"/>
        </w:rPr>
        <w:t>, M020</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광범위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스펙트럼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비롯하여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승인된</w:t>
      </w:r>
      <w:r w:rsidRPr="002C7F14">
        <w:rPr>
          <w:rFonts w:asciiTheme="minorEastAsia" w:eastAsiaTheme="minorEastAsia" w:hAnsiTheme="minorEastAsia"/>
          <w:sz w:val="20"/>
          <w:lang w:eastAsia="ko-KR"/>
        </w:rPr>
        <w:t xml:space="preserve"> NDA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포함한다</w:t>
      </w:r>
      <w:r w:rsidRPr="002C7F14">
        <w:rPr>
          <w:rFonts w:asciiTheme="minorEastAsia" w:eastAsiaTheme="minorEastAsia" w:hAnsiTheme="minorEastAsia"/>
          <w:sz w:val="20"/>
          <w:lang w:eastAsia="ko-KR"/>
        </w:rPr>
        <w:t>.</w:t>
      </w:r>
      <w:r w:rsidRPr="002C7F14">
        <w:rPr>
          <w:rStyle w:val="a7"/>
          <w:rFonts w:asciiTheme="minorEastAsia" w:eastAsiaTheme="minorEastAsia" w:hAnsiTheme="minorEastAsia"/>
          <w:sz w:val="20"/>
          <w:lang w:eastAsia="ko-KR"/>
        </w:rPr>
        <w:footnoteReference w:id="71"/>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라벨링에는</w:t>
      </w:r>
      <w:r w:rsidRPr="002C7F14">
        <w:rPr>
          <w:rFonts w:asciiTheme="minorEastAsia" w:eastAsiaTheme="minorEastAsia" w:hAnsiTheme="minorEastAsia"/>
          <w:sz w:val="20"/>
          <w:lang w:eastAsia="ko-KR"/>
        </w:rPr>
        <w:t xml:space="preserve"> FIFRA(</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따른</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문구가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비처방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동일한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목록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순내용량</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주의사항</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포함하지만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공통</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요소의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배치에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상당한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요소들은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겹치지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w:t>
      </w:r>
    </w:p>
    <w:p w14:paraId="69F00F80" w14:textId="48A5117F" w:rsidR="001307B8" w:rsidRPr="002C7F14" w:rsidRDefault="001307B8" w:rsidP="001307B8">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제조업자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등록자가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요소의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텍스트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위치에서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벗어날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제한한다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의약품에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사실정보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형식에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해당한다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마찬가지로</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규정은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등록자가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FIFRA</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배치할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있지만</w:t>
      </w:r>
      <w:r w:rsidRPr="002C7F14">
        <w:rPr>
          <w:rFonts w:asciiTheme="minorEastAsia" w:eastAsiaTheme="minorEastAsia" w:hAnsiTheme="minorEastAsia"/>
          <w:sz w:val="20"/>
          <w:lang w:eastAsia="ko-KR"/>
        </w:rPr>
        <w:t>, FIFRA</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텍스트를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대신하거나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가리거나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상충되거나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대체할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w:t>
      </w:r>
      <w:r w:rsidRPr="002C7F14">
        <w:rPr>
          <w:rFonts w:asciiTheme="minorEastAsia" w:eastAsiaTheme="minorEastAsia" w:hAnsiTheme="minorEastAsia"/>
          <w:sz w:val="20"/>
          <w:lang w:eastAsia="ko-KR"/>
        </w:rPr>
        <w:t>(EPA 2018</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w:t>
      </w:r>
    </w:p>
    <w:p w14:paraId="398F8D06" w14:textId="77777777" w:rsidR="001307B8" w:rsidRPr="002C7F14" w:rsidRDefault="001307B8" w:rsidP="008D3177">
      <w:pPr>
        <w:pStyle w:val="a9"/>
        <w:spacing w:line="264" w:lineRule="auto"/>
        <w:jc w:val="both"/>
        <w:rPr>
          <w:rFonts w:asciiTheme="minorEastAsia" w:eastAsiaTheme="minorEastAsia" w:hAnsiTheme="minorEastAsia"/>
          <w:sz w:val="20"/>
          <w:lang w:eastAsia="ko-KR"/>
        </w:rPr>
      </w:pPr>
    </w:p>
    <w:p w14:paraId="257D0DE1" w14:textId="3BACD08C" w:rsidR="00E00EEF" w:rsidRPr="002C7F14" w:rsidRDefault="001307B8" w:rsidP="001307B8">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의도된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용도는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다르며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종류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승인된</w:t>
      </w:r>
      <w:r w:rsidRPr="002C7F14">
        <w:rPr>
          <w:rFonts w:asciiTheme="minorEastAsia" w:eastAsiaTheme="minorEastAsia" w:hAnsiTheme="minorEastAsia"/>
          <w:sz w:val="20"/>
          <w:lang w:eastAsia="ko-KR"/>
        </w:rPr>
        <w:t xml:space="preserve"> NDA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시판된</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자외선차단제에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2</w:t>
      </w:r>
      <w:r w:rsidRPr="002C7F14">
        <w:rPr>
          <w:rFonts w:asciiTheme="minorEastAsia" w:eastAsiaTheme="minorEastAsia" w:hAnsiTheme="minorEastAsia" w:hint="eastAsia"/>
          <w:sz w:val="20"/>
          <w:lang w:eastAsia="ko-KR"/>
        </w:rPr>
        <w:t>시간마다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재적용하도록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최종간주명령의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M020.50(e)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기간은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강도에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달라진다</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목록의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따르면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자외선차단제가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진드기에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2</w:t>
      </w:r>
      <w:r w:rsidRPr="002C7F14">
        <w:rPr>
          <w:rFonts w:asciiTheme="minorEastAsia" w:eastAsiaTheme="minorEastAsia" w:hAnsiTheme="minorEastAsia" w:hint="eastAsia"/>
          <w:sz w:val="20"/>
          <w:lang w:eastAsia="ko-KR"/>
        </w:rPr>
        <w:t>시간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이상의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제공하며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최대</w:t>
      </w:r>
      <w:r w:rsidRPr="002C7F14">
        <w:rPr>
          <w:rFonts w:asciiTheme="minorEastAsia" w:eastAsiaTheme="minorEastAsia" w:hAnsiTheme="minorEastAsia"/>
          <w:sz w:val="20"/>
          <w:lang w:eastAsia="ko-KR"/>
        </w:rPr>
        <w:t xml:space="preserve"> 6~10</w:t>
      </w:r>
      <w:r w:rsidRPr="002C7F14">
        <w:rPr>
          <w:rFonts w:asciiTheme="minorEastAsia" w:eastAsiaTheme="minorEastAsia" w:hAnsiTheme="minorEastAsia" w:hint="eastAsia"/>
          <w:sz w:val="20"/>
          <w:lang w:eastAsia="ko-KR"/>
        </w:rPr>
        <w:t>시간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질병통제예방센터</w:t>
      </w:r>
      <w:r w:rsidRPr="002C7F14">
        <w:rPr>
          <w:rFonts w:asciiTheme="minorEastAsia" w:eastAsiaTheme="minorEastAsia" w:hAnsiTheme="minorEastAsia"/>
          <w:sz w:val="20"/>
          <w:lang w:eastAsia="ko-KR"/>
        </w:rPr>
        <w:t>(CDC)</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소비자에게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벌레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물림으로부터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때문에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권장되지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조언한다</w:t>
      </w:r>
      <w:r w:rsidRPr="002C7F14">
        <w:rPr>
          <w:rFonts w:asciiTheme="minorEastAsia" w:eastAsiaTheme="minorEastAsia" w:hAnsiTheme="minorEastAsia"/>
          <w:sz w:val="20"/>
          <w:lang w:eastAsia="ko-KR"/>
        </w:rPr>
        <w:t xml:space="preserve">(CDC, n.d.). </w:t>
      </w:r>
      <w:r w:rsidRPr="002C7F14">
        <w:rPr>
          <w:rFonts w:asciiTheme="minorEastAsia" w:eastAsiaTheme="minorEastAsia" w:hAnsiTheme="minorEastAsia" w:hint="eastAsia"/>
          <w:sz w:val="20"/>
          <w:lang w:eastAsia="ko-KR"/>
        </w:rPr>
        <w:t>마찬가지로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미국소아과학회는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소비자에게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자외선차단제와</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말라고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권고하는데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중</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자녀가</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과도하게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때문</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미국소아과학회</w:t>
      </w:r>
      <w:r w:rsidRPr="002C7F14">
        <w:rPr>
          <w:rFonts w:asciiTheme="minorEastAsia" w:eastAsiaTheme="minorEastAsia" w:hAnsiTheme="minorEastAsia"/>
          <w:sz w:val="20"/>
          <w:lang w:eastAsia="ko-KR"/>
        </w:rPr>
        <w:t xml:space="preserve">, n.d.). </w:t>
      </w: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연령</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소아에게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승인되었지만</w:t>
      </w:r>
      <w:r w:rsidRPr="002C7F14">
        <w:rPr>
          <w:rFonts w:asciiTheme="minorEastAsia" w:eastAsiaTheme="minorEastAsia" w:hAnsiTheme="minorEastAsia"/>
          <w:sz w:val="20"/>
          <w:lang w:eastAsia="ko-KR"/>
        </w:rPr>
        <w:t xml:space="preserve">(EPA(n.d.), "DEET"), FDA </w:t>
      </w:r>
      <w:r w:rsidRPr="002C7F14">
        <w:rPr>
          <w:rFonts w:asciiTheme="minorEastAsia" w:eastAsiaTheme="minorEastAsia" w:hAnsiTheme="minorEastAsia" w:hint="eastAsia"/>
          <w:sz w:val="20"/>
          <w:lang w:eastAsia="ko-KR"/>
        </w:rPr>
        <w:t>라벨에는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글머리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기호</w:t>
      </w:r>
      <w:r w:rsidRPr="002C7F14">
        <w:rPr>
          <w:rFonts w:asciiTheme="minorEastAsia" w:eastAsiaTheme="minorEastAsia" w:hAnsiTheme="minorEastAsia"/>
          <w:sz w:val="20"/>
          <w:lang w:eastAsia="ko-KR"/>
        </w:rPr>
        <w:t>] 6</w:t>
      </w:r>
      <w:r w:rsidRPr="002C7F14">
        <w:rPr>
          <w:rFonts w:asciiTheme="minorEastAsia" w:eastAsiaTheme="minorEastAsia" w:hAnsiTheme="minorEastAsia" w:hint="eastAsia"/>
          <w:sz w:val="20"/>
          <w:lang w:eastAsia="ko-KR"/>
        </w:rPr>
        <w:t>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미만의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어린이는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의사에게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문의하세요</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명시되어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최종간주명령의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M020.50(e)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w:t>
      </w:r>
    </w:p>
    <w:p w14:paraId="6FC96465" w14:textId="77777777" w:rsidR="003B3606" w:rsidRPr="002C7F14" w:rsidRDefault="003B3606" w:rsidP="008D3177">
      <w:pPr>
        <w:pStyle w:val="a9"/>
        <w:spacing w:line="264" w:lineRule="auto"/>
        <w:jc w:val="both"/>
        <w:rPr>
          <w:rFonts w:asciiTheme="minorEastAsia" w:eastAsiaTheme="minorEastAsia" w:hAnsiTheme="minorEastAsia"/>
          <w:sz w:val="20"/>
          <w:lang w:eastAsia="ko-KR"/>
        </w:rPr>
      </w:pPr>
    </w:p>
    <w:p w14:paraId="567642CD" w14:textId="4703E21D" w:rsidR="00E00EEF" w:rsidRPr="002C7F14" w:rsidRDefault="003B3606" w:rsidP="001307B8">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권장된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예를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들어</w:t>
      </w:r>
      <w:r w:rsidRPr="002C7F14">
        <w:rPr>
          <w:rFonts w:asciiTheme="minorEastAsia" w:eastAsiaTheme="minorEastAsia" w:hAnsiTheme="minorEastAsia"/>
          <w:sz w:val="20"/>
          <w:lang w:eastAsia="ko-KR"/>
        </w:rPr>
        <w:t>, DEET</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덮을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만큼만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과도한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피하라고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되어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반면</w:t>
      </w:r>
      <w:r w:rsidRPr="002C7F14">
        <w:rPr>
          <w:rFonts w:asciiTheme="minorEastAsia" w:eastAsiaTheme="minorEastAsia" w:hAnsiTheme="minorEastAsia"/>
          <w:sz w:val="20"/>
          <w:lang w:eastAsia="ko-KR"/>
        </w:rPr>
        <w:t>(EPA(n.d.), "</w:t>
      </w:r>
      <w:r w:rsidRPr="002C7F14">
        <w:rPr>
          <w:rFonts w:asciiTheme="minorEastAsia" w:eastAsiaTheme="minorEastAsia" w:hAnsiTheme="minorEastAsia" w:hint="eastAsia"/>
          <w:sz w:val="20"/>
          <w:lang w:eastAsia="ko-KR"/>
        </w:rPr>
        <w:t>안전하고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승인된</w:t>
      </w:r>
      <w:r w:rsidRPr="002C7F14">
        <w:rPr>
          <w:rFonts w:asciiTheme="minorEastAsia" w:eastAsiaTheme="minorEastAsia" w:hAnsiTheme="minorEastAsia"/>
          <w:sz w:val="20"/>
          <w:lang w:eastAsia="ko-KR"/>
        </w:rPr>
        <w:t xml:space="preserve"> NDA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비처방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넉넉하게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최종간주명령의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M020.50(e)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적용되는</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의무화한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눈과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입</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근처에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바르지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마십시오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주위는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소량만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바르십시오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옷</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아래에는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마십시오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(EPA (n.d.), "</w:t>
      </w:r>
      <w:r w:rsidRPr="002C7F14">
        <w:rPr>
          <w:rFonts w:asciiTheme="minorEastAsia" w:eastAsiaTheme="minorEastAsia" w:hAnsiTheme="minorEastAsia" w:hint="eastAsia"/>
          <w:sz w:val="20"/>
          <w:lang w:eastAsia="ko-KR"/>
        </w:rPr>
        <w:t>안전하고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문구는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손등과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부위에서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발병률이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높다는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w:t>
      </w:r>
      <w:r w:rsidRPr="002C7F14">
        <w:rPr>
          <w:rFonts w:asciiTheme="minorEastAsia" w:eastAsiaTheme="minorEastAsia" w:hAnsiTheme="minorEastAsia"/>
          <w:sz w:val="20"/>
          <w:lang w:eastAsia="ko-KR"/>
        </w:rPr>
        <w:t>(Kaldor</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1993</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Girschik</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2008</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호주의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고려하면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관점에서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CDC</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햇빛과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곤충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다로부터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소비자에게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먼저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조언한다</w:t>
      </w:r>
      <w:r w:rsidRPr="002C7F14">
        <w:rPr>
          <w:rFonts w:asciiTheme="minorEastAsia" w:eastAsiaTheme="minorEastAsia" w:hAnsiTheme="minorEastAsia"/>
          <w:sz w:val="20"/>
          <w:lang w:eastAsia="ko-KR"/>
        </w:rPr>
        <w:t>(CDC, n.d.).</w:t>
      </w:r>
    </w:p>
    <w:p w14:paraId="65377C2D" w14:textId="1CA3B054" w:rsidR="00E00EEF" w:rsidRPr="002C7F14" w:rsidRDefault="00E00EEF" w:rsidP="008D3177">
      <w:pPr>
        <w:pStyle w:val="a9"/>
        <w:spacing w:line="264" w:lineRule="auto"/>
        <w:jc w:val="both"/>
        <w:rPr>
          <w:rFonts w:asciiTheme="minorEastAsia" w:eastAsiaTheme="minorEastAsia" w:hAnsiTheme="minorEastAsia"/>
          <w:sz w:val="20"/>
          <w:lang w:eastAsia="ko-KR"/>
        </w:rPr>
      </w:pPr>
    </w:p>
    <w:p w14:paraId="3751C970" w14:textId="77777777"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요소의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형식의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차이점은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다음과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같다</w:t>
      </w:r>
      <w:r w:rsidRPr="002C7F14">
        <w:rPr>
          <w:rFonts w:asciiTheme="minorEastAsia" w:eastAsiaTheme="minorEastAsia" w:hAnsiTheme="minorEastAsia"/>
          <w:sz w:val="20"/>
          <w:lang w:eastAsia="ko-KR"/>
        </w:rPr>
        <w:t>.</w:t>
      </w:r>
    </w:p>
    <w:p w14:paraId="23852E90" w14:textId="30244F83" w:rsidR="003B3606" w:rsidRPr="002C7F14" w:rsidRDefault="003B3606" w:rsidP="00C8240F">
      <w:pPr>
        <w:pStyle w:val="a9"/>
        <w:numPr>
          <w:ilvl w:val="0"/>
          <w:numId w:val="32"/>
        </w:numPr>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EPA </w:t>
      </w:r>
      <w:r w:rsidRPr="002C7F14">
        <w:rPr>
          <w:rFonts w:asciiTheme="minorEastAsia" w:eastAsiaTheme="minorEastAsia" w:hAnsiTheme="minorEastAsia" w:hint="eastAsia"/>
          <w:sz w:val="20"/>
          <w:lang w:eastAsia="ko-KR"/>
        </w:rPr>
        <w:t>살충제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156.10(g)(2)</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주의</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신호어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156.64</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유해성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156.66</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패널에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요소가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포함되며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패널에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혼잡하게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만들거나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주의를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산만하게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201.60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주요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패널은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커야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한다</w:t>
      </w:r>
      <w:r w:rsidRPr="002C7F14">
        <w:rPr>
          <w:rFonts w:asciiTheme="minorEastAsia" w:eastAsiaTheme="minorEastAsia" w:hAnsiTheme="minorEastAsia"/>
          <w:sz w:val="20"/>
          <w:lang w:eastAsia="ko-KR"/>
        </w:rPr>
        <w:t>.")) EPA</w:t>
      </w:r>
      <w:r w:rsidRPr="002C7F14">
        <w:rPr>
          <w:rFonts w:asciiTheme="minorEastAsia" w:eastAsiaTheme="minorEastAsia" w:hAnsiTheme="minorEastAsia" w:hint="eastAsia"/>
          <w:sz w:val="20"/>
          <w:lang w:eastAsia="ko-KR"/>
        </w:rPr>
        <w:t>에서만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요소에는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등록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번호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제조시설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번호가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156.10(a)</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w:t>
      </w:r>
    </w:p>
    <w:p w14:paraId="172E4EDB" w14:textId="24C10C6F" w:rsidR="003B3606" w:rsidRPr="002C7F14" w:rsidRDefault="003B3606" w:rsidP="00C8240F">
      <w:pPr>
        <w:pStyle w:val="a9"/>
        <w:numPr>
          <w:ilvl w:val="0"/>
          <w:numId w:val="32"/>
        </w:numPr>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라벨에는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201.66(c)(5)</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최종간주명령의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M020.50(d)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요구사항은</w:t>
      </w:r>
      <w:r w:rsidRPr="002C7F14">
        <w:rPr>
          <w:rFonts w:asciiTheme="minorEastAsia" w:eastAsiaTheme="minorEastAsia" w:hAnsiTheme="minorEastAsia"/>
          <w:sz w:val="20"/>
          <w:lang w:eastAsia="ko-KR"/>
        </w:rPr>
        <w:t xml:space="preserve"> DEET, IR3535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시트로넬라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오일과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높은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범주로서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독성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범주</w:t>
      </w:r>
      <w:r w:rsidRPr="002C7F14">
        <w:rPr>
          <w:rFonts w:asciiTheme="minorEastAsia" w:eastAsiaTheme="minorEastAsia" w:hAnsiTheme="minorEastAsia"/>
          <w:sz w:val="20"/>
          <w:lang w:eastAsia="ko-KR"/>
        </w:rPr>
        <w:t xml:space="preserve"> III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IV </w:t>
      </w:r>
      <w:r w:rsidRPr="002C7F14">
        <w:rPr>
          <w:rFonts w:asciiTheme="minorEastAsia" w:eastAsiaTheme="minorEastAsia" w:hAnsiTheme="minorEastAsia" w:hint="eastAsia"/>
          <w:sz w:val="20"/>
          <w:lang w:eastAsia="ko-KR"/>
        </w:rPr>
        <w:t>기준을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충족하는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살충제가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패널에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신호어가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신호어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주의</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규정한다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156.64</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라벨에서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높은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독성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범주인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독성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범주</w:t>
      </w:r>
      <w:r w:rsidRPr="002C7F14">
        <w:rPr>
          <w:rFonts w:asciiTheme="minorEastAsia" w:eastAsiaTheme="minorEastAsia" w:hAnsiTheme="minorEastAsia"/>
          <w:sz w:val="20"/>
          <w:lang w:eastAsia="ko-KR"/>
        </w:rPr>
        <w:t xml:space="preserve"> II</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신호어로만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156.64(a)(2)</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w:t>
      </w:r>
    </w:p>
    <w:p w14:paraId="554EAB83" w14:textId="49A48656" w:rsidR="003B3606" w:rsidRPr="002C7F14" w:rsidRDefault="003B3606" w:rsidP="00C8240F">
      <w:pPr>
        <w:pStyle w:val="a9"/>
        <w:numPr>
          <w:ilvl w:val="0"/>
          <w:numId w:val="32"/>
        </w:numPr>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FDA </w:t>
      </w:r>
      <w:r w:rsidRPr="002C7F14">
        <w:rPr>
          <w:rFonts w:asciiTheme="minorEastAsia" w:eastAsiaTheme="minorEastAsia" w:hAnsiTheme="minorEastAsia" w:hint="eastAsia"/>
          <w:sz w:val="20"/>
          <w:lang w:eastAsia="ko-KR"/>
        </w:rPr>
        <w:t>라벨링은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201.66(c)(6)</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최종간주명령</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M020.50(e)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규정은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156.10(i)(2)</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w:t>
      </w:r>
    </w:p>
    <w:p w14:paraId="4616AAB0" w14:textId="77777777" w:rsidR="003B3606" w:rsidRPr="002C7F14" w:rsidRDefault="003B3606" w:rsidP="00C8240F">
      <w:pPr>
        <w:pStyle w:val="a9"/>
        <w:numPr>
          <w:ilvl w:val="0"/>
          <w:numId w:val="32"/>
        </w:numPr>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비활성</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열거하도록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201.66</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(b)~(c)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EPA </w:t>
      </w:r>
      <w:r w:rsidRPr="002C7F14">
        <w:rPr>
          <w:rFonts w:asciiTheme="minorEastAsia" w:eastAsiaTheme="minorEastAsia" w:hAnsiTheme="minorEastAsia" w:hint="eastAsia"/>
          <w:sz w:val="20"/>
          <w:lang w:eastAsia="ko-KR"/>
        </w:rPr>
        <w:t>라벨링은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비살충제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불활성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기타</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40</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156.10(g)</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w:t>
      </w:r>
    </w:p>
    <w:p w14:paraId="6E9F0391" w14:textId="77777777" w:rsidR="003B3606" w:rsidRPr="002C7F14" w:rsidRDefault="003B3606" w:rsidP="008D3177">
      <w:pPr>
        <w:pStyle w:val="a9"/>
        <w:spacing w:line="264" w:lineRule="auto"/>
        <w:jc w:val="both"/>
        <w:rPr>
          <w:rFonts w:asciiTheme="minorEastAsia" w:eastAsiaTheme="minorEastAsia" w:hAnsiTheme="minorEastAsia"/>
          <w:sz w:val="20"/>
          <w:lang w:eastAsia="ko-KR"/>
        </w:rPr>
      </w:pPr>
    </w:p>
    <w:p w14:paraId="4D4F3DC7" w14:textId="7401D5BB"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위에서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논의된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차이들의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감안할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양</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기관의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준수하고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방식으로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통합하려고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시도하는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실행</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불가능하다는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내렸다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포함시키기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사실정보를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변경하고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하거나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사실정보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박스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외부에</w:t>
      </w:r>
      <w:r w:rsidRPr="002C7F14">
        <w:rPr>
          <w:rFonts w:asciiTheme="minorEastAsia" w:eastAsiaTheme="minorEastAsia" w:hAnsiTheme="minorEastAsia"/>
          <w:sz w:val="20"/>
          <w:lang w:eastAsia="ko-KR"/>
        </w:rPr>
        <w:t xml:space="preserve"> EPA</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제공함으로써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제안하는</w:t>
      </w:r>
      <w:r w:rsidRPr="002C7F14">
        <w:rPr>
          <w:rFonts w:asciiTheme="minorEastAsia" w:eastAsiaTheme="minorEastAsia" w:hAnsiTheme="minorEastAsia"/>
          <w:sz w:val="20"/>
          <w:lang w:eastAsia="ko-KR"/>
        </w:rPr>
        <w:t xml:space="preserve"> 2007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답변에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동의하지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이중</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세트의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따라서는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병치되어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혼란스러울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양이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너무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많아</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규정에서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이해에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필수적인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중요한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명확하지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띄지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혼잡하고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읽기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어려운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점을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 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제품이</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충족할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조정하는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요청한다</w:t>
      </w:r>
      <w:r w:rsidRPr="002C7F14">
        <w:rPr>
          <w:rFonts w:asciiTheme="minorEastAsia" w:eastAsiaTheme="minorEastAsia" w:hAnsiTheme="minorEastAsia"/>
          <w:sz w:val="20"/>
          <w:lang w:eastAsia="ko-KR"/>
        </w:rPr>
        <w:t xml:space="preserve">. </w:t>
      </w:r>
    </w:p>
    <w:p w14:paraId="4EB04228" w14:textId="6558C583" w:rsidR="00E00EEF" w:rsidRPr="002C7F14" w:rsidRDefault="00E00EEF" w:rsidP="008D3177">
      <w:pPr>
        <w:pStyle w:val="a9"/>
        <w:spacing w:line="264" w:lineRule="auto"/>
        <w:jc w:val="both"/>
        <w:rPr>
          <w:rFonts w:asciiTheme="minorEastAsia" w:eastAsiaTheme="minorEastAsia" w:hAnsiTheme="minorEastAsia"/>
          <w:sz w:val="20"/>
          <w:lang w:eastAsia="ko-KR"/>
        </w:rPr>
      </w:pPr>
    </w:p>
    <w:p w14:paraId="0004ACDA" w14:textId="77777777" w:rsidR="003B3606" w:rsidRPr="002C7F14" w:rsidRDefault="003B3606" w:rsidP="008D3177">
      <w:pPr>
        <w:pStyle w:val="a8"/>
        <w:numPr>
          <w:ilvl w:val="0"/>
          <w:numId w:val="31"/>
        </w:numPr>
        <w:spacing w:afterLines="100" w:after="240" w:line="264" w:lineRule="auto"/>
        <w:ind w:leftChars="0" w:left="3544"/>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FDA</w:t>
      </w:r>
      <w:r w:rsidRPr="002C7F14">
        <w:rPr>
          <w:rFonts w:asciiTheme="minorEastAsia" w:eastAsiaTheme="minorEastAsia" w:hAnsiTheme="minorEastAsia" w:cs="맑은 고딕" w:hint="eastAsia"/>
          <w:b/>
          <w:sz w:val="20"/>
          <w:szCs w:val="20"/>
          <w:lang w:eastAsia="ko-KR"/>
        </w:rPr>
        <w:t>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출판된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의학</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문헌</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검토</w:t>
      </w:r>
    </w:p>
    <w:p w14:paraId="4E67E409" w14:textId="77777777" w:rsidR="003B3606" w:rsidRPr="002C7F14" w:rsidRDefault="003B3606" w:rsidP="008D3177">
      <w:pPr>
        <w:pStyle w:val="a9"/>
        <w:spacing w:line="264" w:lineRule="auto"/>
        <w:jc w:val="both"/>
        <w:rPr>
          <w:rFonts w:asciiTheme="minorEastAsia" w:eastAsiaTheme="minorEastAsia" w:hAnsiTheme="minorEastAsia"/>
          <w:sz w:val="20"/>
          <w:lang w:eastAsia="ko-KR"/>
        </w:rPr>
      </w:pPr>
    </w:p>
    <w:p w14:paraId="02A419FF" w14:textId="77777777"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검토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제기한다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가능한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따르면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존재할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중</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적어도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하나에서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나타났다</w:t>
      </w:r>
      <w:r w:rsidRPr="002C7F14">
        <w:rPr>
          <w:rFonts w:asciiTheme="minorEastAsia" w:eastAsiaTheme="minorEastAsia" w:hAnsiTheme="minorEastAsia"/>
          <w:sz w:val="20"/>
          <w:lang w:eastAsia="ko-KR"/>
        </w:rPr>
        <w:t xml:space="preserve">. </w:t>
      </w:r>
    </w:p>
    <w:p w14:paraId="6C85FC1D" w14:textId="77777777" w:rsidR="003B3606" w:rsidRPr="002C7F14" w:rsidRDefault="003B3606" w:rsidP="008D3177">
      <w:pPr>
        <w:pStyle w:val="a9"/>
        <w:spacing w:line="264" w:lineRule="auto"/>
        <w:jc w:val="both"/>
        <w:rPr>
          <w:rFonts w:asciiTheme="minorEastAsia" w:eastAsiaTheme="minorEastAsia" w:hAnsiTheme="minorEastAsia"/>
          <w:sz w:val="20"/>
          <w:lang w:eastAsia="ko-KR"/>
        </w:rPr>
      </w:pPr>
    </w:p>
    <w:p w14:paraId="6B25D261" w14:textId="77777777"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DEET</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조합된</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있었다</w:t>
      </w:r>
      <w:r w:rsidRPr="002C7F14">
        <w:rPr>
          <w:rFonts w:asciiTheme="minorEastAsia" w:eastAsiaTheme="minorEastAsia" w:hAnsiTheme="minorEastAsia"/>
          <w:sz w:val="20"/>
          <w:lang w:eastAsia="ko-KR"/>
        </w:rPr>
        <w:t>. Ross</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공저자들은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생쥐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확산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모델을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사용하여</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시너지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시험했으며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에탄올에서</w:t>
      </w:r>
      <w:r w:rsidRPr="002C7F14">
        <w:rPr>
          <w:rFonts w:asciiTheme="minorEastAsia" w:eastAsiaTheme="minorEastAsia" w:hAnsiTheme="minorEastAsia"/>
          <w:sz w:val="20"/>
          <w:lang w:eastAsia="ko-KR"/>
        </w:rPr>
        <w:t xml:space="preserve"> 20% DEET </w:t>
      </w:r>
      <w:r w:rsidRPr="002C7F14">
        <w:rPr>
          <w:rFonts w:asciiTheme="minorEastAsia" w:eastAsiaTheme="minorEastAsia" w:hAnsiTheme="minorEastAsia" w:hint="eastAsia"/>
          <w:sz w:val="20"/>
          <w:lang w:eastAsia="ko-KR"/>
        </w:rPr>
        <w:t>표준의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상당한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보였지만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발견되지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않았다</w:t>
      </w:r>
      <w:r w:rsidRPr="002C7F14">
        <w:rPr>
          <w:rFonts w:asciiTheme="minorEastAsia" w:eastAsiaTheme="minorEastAsia" w:hAnsiTheme="minorEastAsia"/>
          <w:sz w:val="20"/>
          <w:lang w:eastAsia="ko-KR"/>
        </w:rPr>
        <w:t>(Ross</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2004</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함량이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낮음에도</w:t>
      </w:r>
      <w:r w:rsidRPr="002C7F14">
        <w:rPr>
          <w:rFonts w:asciiTheme="minorEastAsia" w:eastAsiaTheme="minorEastAsia" w:hAnsiTheme="minorEastAsia"/>
          <w:sz w:val="20"/>
          <w:lang w:eastAsia="ko-KR"/>
        </w:rPr>
        <w:t xml:space="preserve">(10%), </w:t>
      </w:r>
      <w:r w:rsidRPr="002C7F14">
        <w:rPr>
          <w:rFonts w:asciiTheme="minorEastAsia" w:eastAsiaTheme="minorEastAsia" w:hAnsiTheme="minorEastAsia" w:hint="eastAsia"/>
          <w:sz w:val="20"/>
          <w:lang w:eastAsia="ko-KR"/>
        </w:rPr>
        <w:t>상업적으로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제형은</w:t>
      </w:r>
      <w:r w:rsidRPr="002C7F14">
        <w:rPr>
          <w:rFonts w:asciiTheme="minorEastAsia" w:eastAsiaTheme="minorEastAsia" w:hAnsiTheme="minorEastAsia"/>
          <w:sz w:val="20"/>
          <w:lang w:eastAsia="ko-KR"/>
        </w:rPr>
        <w:t xml:space="preserve"> 20% </w:t>
      </w:r>
      <w:r w:rsidRPr="002C7F14">
        <w:rPr>
          <w:rFonts w:asciiTheme="minorEastAsia" w:eastAsiaTheme="minorEastAsia" w:hAnsiTheme="minorEastAsia" w:hint="eastAsia"/>
          <w:sz w:val="20"/>
          <w:lang w:eastAsia="ko-KR"/>
        </w:rPr>
        <w:t>표준보다</w:t>
      </w:r>
      <w:r w:rsidRPr="002C7F14">
        <w:rPr>
          <w:rFonts w:asciiTheme="minorEastAsia" w:eastAsiaTheme="minorEastAsia" w:hAnsiTheme="minorEastAsia"/>
          <w:sz w:val="20"/>
          <w:lang w:eastAsia="ko-KR"/>
        </w:rPr>
        <w:t xml:space="preserve"> 6</w:t>
      </w:r>
      <w:r w:rsidRPr="002C7F14">
        <w:rPr>
          <w:rFonts w:asciiTheme="minorEastAsia" w:eastAsiaTheme="minorEastAsia" w:hAnsiTheme="minorEastAsia" w:hint="eastAsia"/>
          <w:sz w:val="20"/>
          <w:lang w:eastAsia="ko-KR"/>
        </w:rPr>
        <w:t>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빠른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검출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속도와</w:t>
      </w:r>
      <w:r w:rsidRPr="002C7F14">
        <w:rPr>
          <w:rFonts w:asciiTheme="minorEastAsia" w:eastAsiaTheme="minorEastAsia" w:hAnsiTheme="minorEastAsia"/>
          <w:sz w:val="20"/>
          <w:lang w:eastAsia="ko-KR"/>
        </w:rPr>
        <w:t xml:space="preserve"> 3~4</w:t>
      </w:r>
      <w:r w:rsidRPr="002C7F14">
        <w:rPr>
          <w:rFonts w:asciiTheme="minorEastAsia" w:eastAsiaTheme="minorEastAsia" w:hAnsiTheme="minorEastAsia" w:hint="eastAsia"/>
          <w:sz w:val="20"/>
          <w:lang w:eastAsia="ko-KR"/>
        </w:rPr>
        <w:t>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높은</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침투율을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보였다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돼지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인공막</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다양한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매체에서</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다양한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확산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시험은</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향상시키는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시사했다</w:t>
      </w:r>
      <w:r w:rsidRPr="002C7F14">
        <w:rPr>
          <w:rFonts w:asciiTheme="minorEastAsia" w:eastAsiaTheme="minorEastAsia" w:hAnsiTheme="minorEastAsia"/>
          <w:sz w:val="20"/>
          <w:lang w:eastAsia="ko-KR"/>
        </w:rPr>
        <w:t>(Gu</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2005</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Wang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Gu 2007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연구자들은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연구에서도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비슷한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얻었다</w:t>
      </w:r>
      <w:r w:rsidRPr="002C7F14">
        <w:rPr>
          <w:rFonts w:asciiTheme="minorEastAsia" w:eastAsiaTheme="minorEastAsia" w:hAnsiTheme="minorEastAsia"/>
          <w:sz w:val="20"/>
          <w:lang w:eastAsia="ko-KR"/>
        </w:rPr>
        <w:t xml:space="preserve">(Wang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Gu 2007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p>
    <w:p w14:paraId="2504CF19" w14:textId="77777777"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p>
    <w:p w14:paraId="4489AF4C" w14:textId="77777777"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Kasichayanula</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공저자들은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혈장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샘플을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채취한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생체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모델을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사용하여</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입증된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향상된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옥시벤존과</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모두에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이어졌음을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나타냈다</w:t>
      </w:r>
      <w:r w:rsidRPr="002C7F14">
        <w:rPr>
          <w:rFonts w:asciiTheme="minorEastAsia" w:eastAsiaTheme="minorEastAsia" w:hAnsiTheme="minorEastAsia"/>
          <w:sz w:val="20"/>
          <w:lang w:eastAsia="ko-KR"/>
        </w:rPr>
        <w:t>(Kasichayanula</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2005</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Kasichayanula</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2007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마지막으로</w:t>
      </w:r>
      <w:r w:rsidRPr="002C7F14">
        <w:rPr>
          <w:rFonts w:asciiTheme="minorEastAsia" w:eastAsiaTheme="minorEastAsia" w:hAnsiTheme="minorEastAsia"/>
          <w:sz w:val="20"/>
          <w:lang w:eastAsia="ko-KR"/>
        </w:rPr>
        <w:t xml:space="preserve"> Yiin</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공저자들</w:t>
      </w:r>
      <w:r w:rsidRPr="002C7F14">
        <w:rPr>
          <w:rFonts w:asciiTheme="minorEastAsia" w:eastAsiaTheme="minorEastAsia" w:hAnsiTheme="minorEastAsia"/>
          <w:sz w:val="20"/>
          <w:lang w:eastAsia="ko-KR"/>
        </w:rPr>
        <w:t>(2015</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인체에서도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향상된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것이라고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Yiin</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공저자들은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강화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대사산물을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사용했으며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w:t>
      </w:r>
      <w:r w:rsidRPr="002C7F14">
        <w:rPr>
          <w:rFonts w:asciiTheme="minorEastAsia" w:eastAsiaTheme="minorEastAsia" w:hAnsiTheme="minorEastAsia"/>
          <w:sz w:val="20"/>
          <w:lang w:eastAsia="ko-KR"/>
        </w:rPr>
        <w:t xml:space="preserve"> DEET </w:t>
      </w:r>
      <w:r w:rsidRPr="002C7F14">
        <w:rPr>
          <w:rFonts w:asciiTheme="minorEastAsia" w:eastAsiaTheme="minorEastAsia" w:hAnsiTheme="minorEastAsia" w:hint="eastAsia"/>
          <w:sz w:val="20"/>
          <w:lang w:eastAsia="ko-KR"/>
        </w:rPr>
        <w:t>함유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(DEET)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먼저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덮었을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향상되는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나타났다는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내렸다</w:t>
      </w:r>
      <w:r w:rsidRPr="002C7F14">
        <w:rPr>
          <w:rFonts w:asciiTheme="minorEastAsia" w:eastAsiaTheme="minorEastAsia" w:hAnsiTheme="minorEastAsia"/>
          <w:sz w:val="20"/>
          <w:lang w:eastAsia="ko-KR"/>
        </w:rPr>
        <w:t>(Yiin</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2015</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저자들은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로션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스프레이를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섞이지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분사하는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것이</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줄이는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좋은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보인다고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제안했다</w:t>
      </w:r>
      <w:r w:rsidRPr="002C7F14">
        <w:rPr>
          <w:rFonts w:asciiTheme="minorEastAsia" w:eastAsiaTheme="minorEastAsia" w:hAnsiTheme="minorEastAsia"/>
          <w:sz w:val="20"/>
          <w:lang w:eastAsia="ko-KR"/>
        </w:rPr>
        <w:t xml:space="preserve">. </w:t>
      </w:r>
    </w:p>
    <w:p w14:paraId="7116DFCE" w14:textId="77777777" w:rsidR="003B3606" w:rsidRPr="002C7F14" w:rsidRDefault="003B3606" w:rsidP="003B3606">
      <w:pPr>
        <w:pStyle w:val="a9"/>
        <w:spacing w:line="264" w:lineRule="auto"/>
        <w:ind w:firstLine="720"/>
        <w:jc w:val="both"/>
        <w:rPr>
          <w:rFonts w:asciiTheme="minorEastAsia" w:eastAsiaTheme="minorEastAsia" w:hAnsiTheme="minorEastAsia"/>
          <w:sz w:val="20"/>
          <w:lang w:eastAsia="ko-KR"/>
        </w:rPr>
      </w:pPr>
    </w:p>
    <w:p w14:paraId="5F77777C" w14:textId="77777777" w:rsidR="003B3606" w:rsidRPr="002C7F14" w:rsidRDefault="003B3606" w:rsidP="003B3606">
      <w:pPr>
        <w:pStyle w:val="a9"/>
        <w:spacing w:line="264" w:lineRule="auto"/>
        <w:ind w:firstLine="720"/>
        <w:jc w:val="both"/>
        <w:rPr>
          <w:rFonts w:asciiTheme="minorEastAsia" w:eastAsiaTheme="minorEastAsia" w:hAnsiTheme="minorEastAsia"/>
          <w:sz w:val="24"/>
          <w:lang w:eastAsia="ko-KR"/>
        </w:rPr>
      </w:pPr>
      <w:r w:rsidRPr="002C7F14">
        <w:rPr>
          <w:rFonts w:asciiTheme="minorEastAsia" w:eastAsiaTheme="minorEastAsia" w:hAnsiTheme="minorEastAsia" w:hint="eastAsia"/>
          <w:sz w:val="20"/>
          <w:lang w:eastAsia="ko-KR"/>
        </w:rPr>
        <w:t>방충제와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표면에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발휘하도록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설계되었지만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따르면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 옥시벤존과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w:t>
      </w:r>
      <w:r w:rsidRPr="002C7F14">
        <w:rPr>
          <w:rFonts w:asciiTheme="minorEastAsia" w:eastAsiaTheme="minorEastAsia" w:hAnsiTheme="minorEastAsia"/>
          <w:sz w:val="20"/>
          <w:lang w:eastAsia="ko-KR"/>
        </w:rPr>
        <w:t xml:space="preserve"> DEET</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의도치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있으며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아래에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자세히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바와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FDA </w:t>
      </w:r>
      <w:r w:rsidRPr="002C7F14">
        <w:rPr>
          <w:rFonts w:asciiTheme="minorEastAsia" w:eastAsiaTheme="minorEastAsia" w:hAnsiTheme="minorEastAsia" w:hint="eastAsia"/>
          <w:sz w:val="20"/>
          <w:lang w:eastAsia="ko-KR"/>
        </w:rPr>
        <w:t>데이터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요청에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의견에서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인용된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인정하며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확산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임상적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반영하는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측면에서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한계가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점을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인정한다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많은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세부정보가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부형제로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제형화된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시험했으며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이것이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미쳤는지는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불분명하다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보지는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않지만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일관되지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효과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극복할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하더라도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증거가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w:t>
      </w:r>
      <w:r w:rsidRPr="002C7F14">
        <w:rPr>
          <w:rFonts w:asciiTheme="minorEastAsia" w:eastAsiaTheme="minorEastAsia" w:hAnsiTheme="minorEastAsia"/>
          <w:sz w:val="20"/>
          <w:lang w:eastAsia="ko-KR"/>
        </w:rPr>
        <w:t>(FD&amp;C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505G(b)(1)(C)(ii)</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정당화하는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타당한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제기한다고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판단했다</w:t>
      </w:r>
      <w:r w:rsidRPr="002C7F14">
        <w:rPr>
          <w:rFonts w:asciiTheme="minorEastAsia" w:eastAsiaTheme="minorEastAsia" w:hAnsiTheme="minorEastAsia"/>
          <w:sz w:val="20"/>
          <w:lang w:eastAsia="ko-KR"/>
        </w:rPr>
        <w:t>.</w:t>
      </w:r>
    </w:p>
    <w:p w14:paraId="677FB162" w14:textId="6EC5A21E" w:rsidR="00E00EEF" w:rsidRPr="002C7F14" w:rsidRDefault="00E00EEF" w:rsidP="003B3606">
      <w:pPr>
        <w:pStyle w:val="a9"/>
        <w:spacing w:line="264" w:lineRule="auto"/>
        <w:ind w:firstLine="720"/>
        <w:jc w:val="both"/>
        <w:rPr>
          <w:rFonts w:asciiTheme="minorEastAsia" w:eastAsiaTheme="minorEastAsia" w:hAnsiTheme="minorEastAsia"/>
          <w:sz w:val="20"/>
          <w:lang w:eastAsia="ko-KR"/>
        </w:rPr>
      </w:pPr>
    </w:p>
    <w:p w14:paraId="2A1B8A9A" w14:textId="77777777" w:rsidR="002C5FA0" w:rsidRPr="002C7F14" w:rsidRDefault="002C5FA0"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증거가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w:t>
      </w:r>
      <w:r w:rsidRPr="002C7F14">
        <w:rPr>
          <w:rFonts w:asciiTheme="minorEastAsia" w:eastAsiaTheme="minorEastAsia" w:hAnsiTheme="minorEastAsia"/>
          <w:sz w:val="20"/>
          <w:lang w:eastAsia="ko-KR"/>
        </w:rPr>
        <w:t xml:space="preserve"> FDA</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판단할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도움이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향후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조사와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노출되었을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옥시벤존의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정의하는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알지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대해서도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유사하게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증가할지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여부를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거의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수행된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즉</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w:t>
      </w:r>
      <w:proofErr w:type="gramStart"/>
      <w:r w:rsidRPr="002C7F14">
        <w:rPr>
          <w:rFonts w:asciiTheme="minorEastAsia" w:eastAsiaTheme="minorEastAsia" w:hAnsiTheme="minorEastAsia"/>
          <w:sz w:val="20"/>
          <w:lang w:eastAsia="ko-KR"/>
        </w:rPr>
        <w:t>C.iv</w:t>
      </w:r>
      <w:proofErr w:type="gramEnd"/>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논의된</w:t>
      </w:r>
      <w:r w:rsidRPr="002C7F14">
        <w:rPr>
          <w:rFonts w:asciiTheme="minorEastAsia" w:eastAsiaTheme="minorEastAsia" w:hAnsiTheme="minorEastAsia"/>
          <w:sz w:val="20"/>
          <w:lang w:eastAsia="ko-KR"/>
        </w:rPr>
        <w:t xml:space="preserve"> MUsT)</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위험을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어렵다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시너지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상호작용으로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수준을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추정하기에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마찬가지로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신뢰할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추정치를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w:t>
      </w:r>
      <w:r w:rsidRPr="002C7F14">
        <w:rPr>
          <w:rFonts w:asciiTheme="minorEastAsia" w:eastAsiaTheme="minorEastAsia" w:hAnsiTheme="minorEastAsia"/>
          <w:sz w:val="20"/>
          <w:lang w:eastAsia="ko-KR"/>
        </w:rPr>
        <w:t>.</w:t>
      </w:r>
    </w:p>
    <w:p w14:paraId="7DA10AFC" w14:textId="77777777" w:rsidR="002C5FA0" w:rsidRPr="002C7F14" w:rsidRDefault="002C5FA0" w:rsidP="008C7286">
      <w:pPr>
        <w:pStyle w:val="a9"/>
        <w:spacing w:line="264" w:lineRule="auto"/>
        <w:ind w:firstLine="720"/>
        <w:jc w:val="both"/>
        <w:rPr>
          <w:rFonts w:asciiTheme="minorEastAsia" w:eastAsiaTheme="minorEastAsia" w:hAnsiTheme="minorEastAsia"/>
          <w:sz w:val="20"/>
          <w:lang w:eastAsia="ko-KR"/>
        </w:rPr>
      </w:pPr>
    </w:p>
    <w:p w14:paraId="262F6BF8" w14:textId="77777777" w:rsidR="002C5FA0" w:rsidRPr="002C7F14" w:rsidRDefault="002C5FA0"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측면에서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존재가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미치는지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여부를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판단할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거의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없다</w:t>
      </w:r>
      <w:r w:rsidRPr="002C7F14">
        <w:rPr>
          <w:rFonts w:asciiTheme="minorEastAsia" w:eastAsiaTheme="minorEastAsia" w:hAnsiTheme="minorEastAsia"/>
          <w:sz w:val="20"/>
          <w:lang w:eastAsia="ko-KR"/>
        </w:rPr>
        <w:t>. Montemarano</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공저자들은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동시에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사용했기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때문에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효능이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감소했다고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보고했다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그러나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별도로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적용되었으며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아니었다</w:t>
      </w:r>
      <w:r w:rsidRPr="002C7F14">
        <w:rPr>
          <w:rFonts w:asciiTheme="minorEastAsia" w:eastAsiaTheme="minorEastAsia" w:hAnsiTheme="minorEastAsia"/>
          <w:sz w:val="20"/>
          <w:lang w:eastAsia="ko-KR"/>
        </w:rPr>
        <w:t>(Montemarano</w:t>
      </w:r>
      <w:r w:rsidRPr="002C7F14">
        <w:rPr>
          <w:rFonts w:asciiTheme="minorEastAsia" w:eastAsiaTheme="minorEastAsia" w:hAnsiTheme="minorEastAsia" w:hint="eastAsia"/>
          <w:sz w:val="20"/>
          <w:lang w:eastAsia="ko-KR"/>
        </w:rPr>
        <w:t>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공저</w:t>
      </w:r>
      <w:r w:rsidRPr="002C7F14">
        <w:rPr>
          <w:rFonts w:asciiTheme="minorEastAsia" w:eastAsiaTheme="minorEastAsia" w:hAnsiTheme="minorEastAsia"/>
          <w:sz w:val="20"/>
          <w:lang w:eastAsia="ko-KR"/>
        </w:rPr>
        <w:t xml:space="preserve"> 1997</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w:t>
      </w:r>
    </w:p>
    <w:p w14:paraId="044DDDD7" w14:textId="77777777" w:rsidR="002C5FA0" w:rsidRPr="002C7F14" w:rsidRDefault="002C5FA0" w:rsidP="008C7286">
      <w:pPr>
        <w:pStyle w:val="a9"/>
        <w:spacing w:line="264" w:lineRule="auto"/>
        <w:ind w:firstLine="720"/>
        <w:jc w:val="both"/>
        <w:rPr>
          <w:rFonts w:asciiTheme="minorEastAsia" w:eastAsiaTheme="minorEastAsia" w:hAnsiTheme="minorEastAsia"/>
          <w:sz w:val="20"/>
          <w:lang w:eastAsia="ko-KR"/>
        </w:rPr>
      </w:pPr>
    </w:p>
    <w:p w14:paraId="64384106" w14:textId="77777777" w:rsidR="008C7286" w:rsidRPr="002C7F14" w:rsidRDefault="002C5FA0"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효능과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w:t>
      </w:r>
      <w:r w:rsidRPr="002C7F14">
        <w:rPr>
          <w:rFonts w:asciiTheme="minorEastAsia" w:eastAsiaTheme="minorEastAsia" w:hAnsiTheme="minorEastAsia" w:hint="eastAsia"/>
          <w:sz w:val="20"/>
          <w:lang w:eastAsia="ko-KR"/>
        </w:rPr>
        <w:t>최종간주명령에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명령안의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곳에서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모두</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미치는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영향에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완화할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인정한다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그러나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시험의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신뢰성을</w:t>
      </w:r>
      <w:r w:rsidR="008C7286" w:rsidRPr="002C7F14">
        <w:rPr>
          <w:rFonts w:asciiTheme="minorEastAsia" w:eastAsiaTheme="minorEastAsia" w:hAnsiTheme="minorEastAsia" w:hint="eastAsia"/>
          <w:sz w:val="20"/>
          <w:lang w:eastAsia="ko-KR"/>
        </w:rPr>
        <w:t xml:space="preserve"> 평가하는</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데이터를</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알지</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못한다</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또한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방충제의</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존재로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인한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효능</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손실을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보상하기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위해</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자외선차단제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활성성분의</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양을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늘리면</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자외선차단제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활성성분에</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불필요하게</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많이</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노출될</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가능성이</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있다</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이러한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추가적인</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이유로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다른</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우려사항을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극복할</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수</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있다</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하더라도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이러한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제품은</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현재</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자외선차단제</w:t>
      </w:r>
      <w:r w:rsidR="008C7286" w:rsidRPr="002C7F14">
        <w:rPr>
          <w:rFonts w:asciiTheme="minorEastAsia" w:eastAsiaTheme="minorEastAsia" w:hAnsiTheme="minorEastAsia"/>
          <w:sz w:val="20"/>
          <w:lang w:eastAsia="ko-KR"/>
        </w:rPr>
        <w:t>-</w:t>
      </w:r>
      <w:r w:rsidR="008C7286" w:rsidRPr="002C7F14">
        <w:rPr>
          <w:rFonts w:asciiTheme="minorEastAsia" w:eastAsiaTheme="minorEastAsia" w:hAnsiTheme="minorEastAsia" w:hint="eastAsia"/>
          <w:sz w:val="20"/>
          <w:lang w:eastAsia="ko-KR"/>
        </w:rPr>
        <w:t>방충제가</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자외선차단제로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사용하기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위해</w:t>
      </w:r>
      <w:r w:rsidR="008C7286" w:rsidRPr="002C7F14">
        <w:rPr>
          <w:rFonts w:asciiTheme="minorEastAsia" w:eastAsiaTheme="minorEastAsia" w:hAnsiTheme="minorEastAsia"/>
          <w:sz w:val="20"/>
          <w:lang w:eastAsia="ko-KR"/>
        </w:rPr>
        <w:t xml:space="preserve"> GRASE</w:t>
      </w:r>
      <w:r w:rsidR="008C7286" w:rsidRPr="002C7F14">
        <w:rPr>
          <w:rFonts w:asciiTheme="minorEastAsia" w:eastAsiaTheme="minorEastAsia" w:hAnsiTheme="minorEastAsia" w:hint="eastAsia"/>
          <w:sz w:val="20"/>
          <w:lang w:eastAsia="ko-KR"/>
        </w:rPr>
        <w:t>라는</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결론을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내릴</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만한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충분한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증거가</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없기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때문에</w:t>
      </w:r>
      <w:r w:rsidR="008C7286" w:rsidRPr="002C7F14">
        <w:rPr>
          <w:rFonts w:asciiTheme="minorEastAsia" w:eastAsiaTheme="minorEastAsia" w:hAnsiTheme="minorEastAsia"/>
          <w:sz w:val="20"/>
          <w:lang w:eastAsia="ko-KR"/>
        </w:rPr>
        <w:t>(FD&amp;C</w:t>
      </w:r>
      <w:r w:rsidR="008C7286" w:rsidRPr="002C7F14">
        <w:rPr>
          <w:rFonts w:asciiTheme="minorEastAsia" w:eastAsiaTheme="minorEastAsia" w:hAnsiTheme="minorEastAsia" w:hint="eastAsia"/>
          <w:sz w:val="20"/>
          <w:lang w:eastAsia="ko-KR"/>
        </w:rPr>
        <w:t>법</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제</w:t>
      </w:r>
      <w:r w:rsidR="008C7286" w:rsidRPr="002C7F14">
        <w:rPr>
          <w:rFonts w:asciiTheme="minorEastAsia" w:eastAsiaTheme="minorEastAsia" w:hAnsiTheme="minorEastAsia"/>
          <w:sz w:val="20"/>
          <w:lang w:eastAsia="ko-KR"/>
        </w:rPr>
        <w:t>505G(b)(1)(C)(ii)</w:t>
      </w:r>
      <w:r w:rsidR="008C7286" w:rsidRPr="002C7F14">
        <w:rPr>
          <w:rFonts w:asciiTheme="minorEastAsia" w:eastAsiaTheme="minorEastAsia" w:hAnsiTheme="minorEastAsia" w:hint="eastAsia"/>
          <w:sz w:val="20"/>
          <w:lang w:eastAsia="ko-KR"/>
        </w:rPr>
        <w:t>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참조</w:t>
      </w:r>
      <w:r w:rsidR="008C7286" w:rsidRPr="002C7F14">
        <w:rPr>
          <w:rFonts w:asciiTheme="minorEastAsia" w:eastAsiaTheme="minorEastAsia" w:hAnsiTheme="minorEastAsia"/>
          <w:sz w:val="20"/>
          <w:lang w:eastAsia="ko-KR"/>
        </w:rPr>
        <w:t>) GRASE</w:t>
      </w:r>
      <w:r w:rsidR="008C7286" w:rsidRPr="002C7F14">
        <w:rPr>
          <w:rFonts w:asciiTheme="minorEastAsia" w:eastAsiaTheme="minorEastAsia" w:hAnsiTheme="minorEastAsia" w:hint="eastAsia"/>
          <w:sz w:val="20"/>
          <w:lang w:eastAsia="ko-KR"/>
        </w:rPr>
        <w:t>가</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아니라고</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제안한다</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위에서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확인된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데이터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필요성과</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지원</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데이터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및</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분석을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비롯한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잠정</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결론에</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대한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의견을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요청한다</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또한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이러한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데이터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필요성을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해결하기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위한</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데이터</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및</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정보도</w:t>
      </w:r>
      <w:r w:rsidR="008C7286" w:rsidRPr="002C7F14">
        <w:rPr>
          <w:rFonts w:asciiTheme="minorEastAsia" w:eastAsiaTheme="minorEastAsia" w:hAnsiTheme="minorEastAsia"/>
          <w:sz w:val="20"/>
          <w:lang w:eastAsia="ko-KR"/>
        </w:rPr>
        <w:t xml:space="preserve"> </w:t>
      </w:r>
      <w:r w:rsidR="008C7286" w:rsidRPr="002C7F14">
        <w:rPr>
          <w:rFonts w:asciiTheme="minorEastAsia" w:eastAsiaTheme="minorEastAsia" w:hAnsiTheme="minorEastAsia" w:hint="eastAsia"/>
          <w:sz w:val="20"/>
          <w:lang w:eastAsia="ko-KR"/>
        </w:rPr>
        <w:t>요청한다</w:t>
      </w:r>
      <w:r w:rsidR="008C7286" w:rsidRPr="002C7F14">
        <w:rPr>
          <w:rFonts w:asciiTheme="minorEastAsia" w:eastAsiaTheme="minorEastAsia" w:hAnsiTheme="minorEastAsia"/>
          <w:sz w:val="20"/>
          <w:lang w:eastAsia="ko-KR"/>
        </w:rPr>
        <w:t>.</w:t>
      </w:r>
    </w:p>
    <w:p w14:paraId="5D2368A2"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p>
    <w:p w14:paraId="3271E672" w14:textId="77777777" w:rsidR="008C7286" w:rsidRPr="002C7F14" w:rsidRDefault="008C7286" w:rsidP="008D3177">
      <w:pPr>
        <w:pStyle w:val="a8"/>
        <w:numPr>
          <w:ilvl w:val="0"/>
          <w:numId w:val="31"/>
        </w:numPr>
        <w:tabs>
          <w:tab w:val="left" w:pos="3544"/>
        </w:tabs>
        <w:spacing w:afterLines="100" w:after="240" w:line="264" w:lineRule="auto"/>
        <w:ind w:leftChars="0" w:left="3119" w:firstLine="0"/>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결론</w:t>
      </w:r>
    </w:p>
    <w:p w14:paraId="4AABB0A6"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차이가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작용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기간과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충분히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보장하는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생성을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저해한다는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내린다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이유로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505G(b)(1)(C)(i)</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이처럼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상충되는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없으므로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502(f)</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극복할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하더라도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발생하는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잠재적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증가에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최종</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해결해야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상호작용을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식별하기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문제를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제기하는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침투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향상을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특성화하기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데이터가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필요하다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언급한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바와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같이</w:t>
      </w:r>
      <w:r w:rsidRPr="002C7F14">
        <w:rPr>
          <w:rFonts w:asciiTheme="minorEastAsia" w:eastAsiaTheme="minorEastAsia" w:hAnsiTheme="minorEastAsia"/>
          <w:sz w:val="20"/>
          <w:lang w:eastAsia="ko-KR"/>
        </w:rPr>
        <w:t>, FDA</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임상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일부로</w:t>
      </w:r>
      <w:r w:rsidRPr="002C7F14">
        <w:rPr>
          <w:rFonts w:asciiTheme="minorEastAsia" w:eastAsiaTheme="minorEastAsia" w:hAnsiTheme="minorEastAsia"/>
          <w:sz w:val="20"/>
          <w:lang w:eastAsia="ko-KR"/>
        </w:rPr>
        <w:t xml:space="preserve"> MUsT</w:t>
      </w:r>
      <w:r w:rsidRPr="002C7F14">
        <w:rPr>
          <w:rFonts w:asciiTheme="minorEastAsia" w:eastAsiaTheme="minorEastAsia" w:hAnsiTheme="minorEastAsia" w:hint="eastAsia"/>
          <w:sz w:val="20"/>
          <w:lang w:eastAsia="ko-KR"/>
        </w:rPr>
        <w:t>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적절한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연구가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필요하다</w:t>
      </w:r>
      <w:r w:rsidRPr="002C7F14">
        <w:rPr>
          <w:rFonts w:asciiTheme="minorEastAsia" w:eastAsiaTheme="minorEastAsia" w:hAnsiTheme="minorEastAsia"/>
          <w:sz w:val="20"/>
          <w:lang w:eastAsia="ko-KR"/>
        </w:rPr>
        <w:t xml:space="preserve">(MUsT </w:t>
      </w:r>
      <w:r w:rsidRPr="002C7F14">
        <w:rPr>
          <w:rFonts w:asciiTheme="minorEastAsia" w:eastAsiaTheme="minorEastAsia" w:hAnsiTheme="minorEastAsia" w:hint="eastAsia"/>
          <w:sz w:val="20"/>
          <w:lang w:eastAsia="ko-KR"/>
        </w:rPr>
        <w:t>프로그램을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평가에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자세한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내용은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w:t>
      </w:r>
      <w:proofErr w:type="gramStart"/>
      <w:r w:rsidRPr="002C7F14">
        <w:rPr>
          <w:rFonts w:asciiTheme="minorEastAsia" w:eastAsiaTheme="minorEastAsia" w:hAnsiTheme="minorEastAsia"/>
          <w:sz w:val="20"/>
          <w:lang w:eastAsia="ko-KR"/>
        </w:rPr>
        <w:t>C.iv</w:t>
      </w:r>
      <w:proofErr w:type="gramEnd"/>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참조한다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지속적인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우려사항이다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이유로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비처방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잠정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판단을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내린다</w:t>
      </w:r>
      <w:r w:rsidRPr="002C7F14">
        <w:rPr>
          <w:rFonts w:asciiTheme="minorEastAsia" w:eastAsiaTheme="minorEastAsia" w:hAnsiTheme="minorEastAsia"/>
          <w:sz w:val="20"/>
          <w:lang w:eastAsia="ko-KR"/>
        </w:rPr>
        <w:t>.</w:t>
      </w:r>
    </w:p>
    <w:p w14:paraId="37A49C82" w14:textId="77777777" w:rsidR="008C7286" w:rsidRPr="002C7F14" w:rsidRDefault="008C7286" w:rsidP="008C7286">
      <w:pPr>
        <w:pStyle w:val="a9"/>
        <w:spacing w:line="264" w:lineRule="auto"/>
        <w:jc w:val="both"/>
        <w:rPr>
          <w:rFonts w:asciiTheme="minorEastAsia" w:eastAsiaTheme="minorEastAsia" w:hAnsiTheme="minorEastAsia"/>
          <w:sz w:val="20"/>
          <w:lang w:eastAsia="ko-KR"/>
        </w:rPr>
      </w:pPr>
    </w:p>
    <w:p w14:paraId="4114F6A7" w14:textId="77777777" w:rsidR="008C7286" w:rsidRPr="002C7F14" w:rsidRDefault="008C7286" w:rsidP="008C7286">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이</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잠정</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결론에</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대한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의견을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요청한다</w:t>
      </w:r>
      <w:r w:rsidRPr="002C7F14">
        <w:rPr>
          <w:rFonts w:asciiTheme="minorEastAsia" w:eastAsiaTheme="minorEastAsia" w:hAnsiTheme="minorEastAsia" w:cs="맑은 고딕"/>
          <w:b/>
          <w:sz w:val="20"/>
          <w:szCs w:val="20"/>
          <w:lang w:eastAsia="ko-KR"/>
        </w:rPr>
        <w:t xml:space="preserve">. </w:t>
      </w:r>
    </w:p>
    <w:p w14:paraId="5C472CD3" w14:textId="77777777" w:rsidR="008C7286" w:rsidRPr="002C7F14" w:rsidRDefault="008C7286" w:rsidP="008C7286">
      <w:pPr>
        <w:pStyle w:val="a9"/>
        <w:spacing w:line="264" w:lineRule="auto"/>
        <w:jc w:val="both"/>
        <w:rPr>
          <w:rFonts w:asciiTheme="minorEastAsia" w:eastAsiaTheme="minorEastAsia" w:hAnsiTheme="minorEastAsia"/>
          <w:sz w:val="20"/>
          <w:lang w:eastAsia="ko-KR"/>
        </w:rPr>
      </w:pPr>
    </w:p>
    <w:p w14:paraId="318F716C" w14:textId="77777777" w:rsidR="008C7286" w:rsidRPr="002C7F14" w:rsidRDefault="008C7286" w:rsidP="00C8240F">
      <w:pPr>
        <w:pStyle w:val="a9"/>
        <w:numPr>
          <w:ilvl w:val="0"/>
          <w:numId w:val="33"/>
        </w:numPr>
        <w:spacing w:line="264" w:lineRule="auto"/>
        <w:ind w:left="2977"/>
        <w:jc w:val="both"/>
        <w:rPr>
          <w:rFonts w:asciiTheme="minorEastAsia" w:eastAsiaTheme="minorEastAsia" w:hAnsiTheme="minorEastAsia"/>
          <w:i/>
          <w:sz w:val="20"/>
          <w:lang w:eastAsia="ko-KR"/>
        </w:rPr>
      </w:pPr>
      <w:r w:rsidRPr="002C7F14">
        <w:rPr>
          <w:rFonts w:asciiTheme="minorEastAsia" w:eastAsiaTheme="minorEastAsia" w:hAnsiTheme="minorEastAsia" w:hint="eastAsia"/>
          <w:i/>
          <w:sz w:val="20"/>
          <w:lang w:eastAsia="ko-KR"/>
        </w:rPr>
        <w:t>조화</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및</w:t>
      </w:r>
      <w:r w:rsidRPr="002C7F14">
        <w:rPr>
          <w:rFonts w:asciiTheme="minorEastAsia" w:eastAsiaTheme="minorEastAsia" w:hAnsiTheme="minorEastAsia"/>
          <w:i/>
          <w:sz w:val="20"/>
          <w:lang w:eastAsia="ko-KR"/>
        </w:rPr>
        <w:t>/</w:t>
      </w:r>
      <w:r w:rsidRPr="002C7F14">
        <w:rPr>
          <w:rFonts w:asciiTheme="minorEastAsia" w:eastAsiaTheme="minorEastAsia" w:hAnsiTheme="minorEastAsia" w:hint="eastAsia"/>
          <w:i/>
          <w:sz w:val="20"/>
          <w:lang w:eastAsia="ko-KR"/>
        </w:rPr>
        <w:t>또는</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통합을</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위한</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기타</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제안</w:t>
      </w:r>
    </w:p>
    <w:p w14:paraId="66FEFCBF" w14:textId="77777777" w:rsidR="008C7286" w:rsidRPr="002C7F14" w:rsidRDefault="008C7286" w:rsidP="008C7286">
      <w:pPr>
        <w:pStyle w:val="a9"/>
        <w:spacing w:line="264" w:lineRule="auto"/>
        <w:jc w:val="both"/>
        <w:rPr>
          <w:rFonts w:asciiTheme="minorEastAsia" w:eastAsiaTheme="minorEastAsia" w:hAnsiTheme="minorEastAsia"/>
          <w:sz w:val="20"/>
          <w:lang w:eastAsia="ko-KR"/>
        </w:rPr>
      </w:pPr>
    </w:p>
    <w:p w14:paraId="26C48C4A" w14:textId="5F331449" w:rsidR="00E00EEF"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p>
    <w:p w14:paraId="4577774A"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확정되면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포함되고</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M016.20,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M016.50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M016.60</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해당</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개정사항이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포함된다</w:t>
      </w:r>
      <w:r w:rsidRPr="002C7F14">
        <w:rPr>
          <w:rFonts w:asciiTheme="minorEastAsia" w:eastAsiaTheme="minorEastAsia" w:hAnsiTheme="minorEastAsia"/>
          <w:sz w:val="20"/>
          <w:lang w:eastAsia="ko-KR"/>
        </w:rPr>
        <w:t xml:space="preserve">. </w:t>
      </w:r>
    </w:p>
    <w:p w14:paraId="13282236"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p>
    <w:p w14:paraId="05B51A4F"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첫째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포함시킬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어떤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농도도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포함시킬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있는지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식별하는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규정할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M020.20(b)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M016.20(e)</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일치한다</w:t>
      </w:r>
      <w:r w:rsidRPr="002C7F14">
        <w:rPr>
          <w:rFonts w:asciiTheme="minorEastAsia" w:eastAsiaTheme="minorEastAsia" w:hAnsiTheme="minorEastAsia"/>
          <w:sz w:val="20"/>
          <w:lang w:eastAsia="ko-KR"/>
        </w:rPr>
        <w:t xml:space="preserve">. </w:t>
      </w:r>
    </w:p>
    <w:p w14:paraId="0FBEEE04"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p>
    <w:p w14:paraId="7AF2E2E2" w14:textId="2ABDD477" w:rsidR="00E00EEF"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둘째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피부보호제의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제품식별명</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적응증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지침을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포함시킬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M020.52(a),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M020.60,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M016.50(b)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M016.60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명령안의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일치한다</w:t>
      </w:r>
      <w:r w:rsidRPr="002C7F14">
        <w:rPr>
          <w:rFonts w:asciiTheme="minorEastAsia" w:eastAsiaTheme="minorEastAsia" w:hAnsiTheme="minorEastAsia"/>
          <w:sz w:val="20"/>
          <w:lang w:eastAsia="ko-KR"/>
        </w:rPr>
        <w:t>.</w:t>
      </w:r>
    </w:p>
    <w:p w14:paraId="66A96534" w14:textId="0B9C6565" w:rsidR="00E00EEF" w:rsidRPr="002C7F14" w:rsidRDefault="00E00EEF" w:rsidP="00EF791F">
      <w:pPr>
        <w:spacing w:line="264" w:lineRule="auto"/>
        <w:jc w:val="both"/>
        <w:rPr>
          <w:rFonts w:asciiTheme="minorEastAsia" w:eastAsiaTheme="minorEastAsia" w:hAnsiTheme="minorEastAsia" w:cs="맑은 고딕"/>
          <w:sz w:val="20"/>
          <w:szCs w:val="20"/>
          <w:lang w:eastAsia="ko-KR"/>
        </w:rPr>
      </w:pPr>
    </w:p>
    <w:p w14:paraId="5D92AA72" w14:textId="77777777" w:rsidR="008C7286" w:rsidRPr="002C7F14" w:rsidRDefault="008C7286" w:rsidP="00C8240F">
      <w:pPr>
        <w:pStyle w:val="a9"/>
        <w:numPr>
          <w:ilvl w:val="0"/>
          <w:numId w:val="33"/>
        </w:numPr>
        <w:spacing w:line="264" w:lineRule="auto"/>
        <w:ind w:left="2977"/>
        <w:jc w:val="both"/>
        <w:rPr>
          <w:rFonts w:asciiTheme="minorEastAsia" w:eastAsiaTheme="minorEastAsia" w:hAnsiTheme="minorEastAsia"/>
          <w:i/>
          <w:sz w:val="20"/>
          <w:lang w:eastAsia="ko-KR"/>
        </w:rPr>
      </w:pPr>
      <w:r w:rsidRPr="002C7F14">
        <w:rPr>
          <w:rFonts w:asciiTheme="minorEastAsia" w:eastAsiaTheme="minorEastAsia" w:hAnsiTheme="minorEastAsia" w:hint="eastAsia"/>
          <w:i/>
          <w:sz w:val="20"/>
          <w:lang w:eastAsia="ko-KR"/>
        </w:rPr>
        <w:t>조항을</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조화</w:t>
      </w:r>
      <w:r w:rsidRPr="002C7F14">
        <w:rPr>
          <w:rFonts w:asciiTheme="minorEastAsia" w:eastAsiaTheme="minorEastAsia" w:hAnsiTheme="minorEastAsia"/>
          <w:i/>
          <w:sz w:val="20"/>
          <w:lang w:eastAsia="ko-KR"/>
        </w:rPr>
        <w:t>/</w:t>
      </w:r>
      <w:r w:rsidRPr="002C7F14">
        <w:rPr>
          <w:rFonts w:asciiTheme="minorEastAsia" w:eastAsiaTheme="minorEastAsia" w:hAnsiTheme="minorEastAsia" w:hint="eastAsia"/>
          <w:i/>
          <w:sz w:val="20"/>
          <w:lang w:eastAsia="ko-KR"/>
        </w:rPr>
        <w:t>통합하기</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위한</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추가</w:t>
      </w:r>
      <w:r w:rsidRPr="002C7F14">
        <w:rPr>
          <w:rFonts w:asciiTheme="minorEastAsia" w:eastAsiaTheme="minorEastAsia" w:hAnsiTheme="minorEastAsia"/>
          <w:i/>
          <w:sz w:val="20"/>
          <w:lang w:eastAsia="ko-KR"/>
        </w:rPr>
        <w:t xml:space="preserve"> </w:t>
      </w:r>
      <w:r w:rsidRPr="002C7F14">
        <w:rPr>
          <w:rFonts w:asciiTheme="minorEastAsia" w:eastAsiaTheme="minorEastAsia" w:hAnsiTheme="minorEastAsia" w:hint="eastAsia"/>
          <w:i/>
          <w:sz w:val="20"/>
          <w:lang w:eastAsia="ko-KR"/>
        </w:rPr>
        <w:t>제안</w:t>
      </w:r>
    </w:p>
    <w:p w14:paraId="5EA1C02A"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p>
    <w:p w14:paraId="7E55E28C" w14:textId="1872F13A"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제공된</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의약품을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승인된</w:t>
      </w:r>
      <w:r w:rsidRPr="002C7F14">
        <w:rPr>
          <w:rFonts w:asciiTheme="minorEastAsia" w:eastAsiaTheme="minorEastAsia" w:hAnsiTheme="minorEastAsia"/>
          <w:sz w:val="20"/>
          <w:lang w:eastAsia="ko-KR"/>
        </w:rPr>
        <w:t xml:space="preserve"> NDA</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신약으로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만드는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특성을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새로운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NM020</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w:t>
      </w:r>
      <w:r w:rsidRPr="002C7F14">
        <w:rPr>
          <w:rStyle w:val="a7"/>
          <w:rFonts w:asciiTheme="minorEastAsia" w:eastAsiaTheme="minorEastAsia" w:hAnsiTheme="minorEastAsia"/>
          <w:sz w:val="20"/>
          <w:lang w:eastAsia="ko-KR"/>
        </w:rPr>
        <w:footnoteReference w:id="72"/>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NM900: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일반의약품으로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Style w:val="a7"/>
          <w:rFonts w:asciiTheme="minorEastAsia" w:eastAsiaTheme="minorEastAsia" w:hAnsiTheme="minorEastAsia"/>
          <w:sz w:val="20"/>
          <w:lang w:eastAsia="ko-KR"/>
        </w:rPr>
        <w:footnoteReference w:id="73"/>
      </w:r>
      <w:r w:rsidRPr="002C7F14">
        <w:rPr>
          <w:rFonts w:asciiTheme="minorEastAsia" w:eastAsiaTheme="minorEastAsia" w:hAnsiTheme="minorEastAsia" w:hint="eastAsia"/>
          <w:sz w:val="20"/>
          <w:lang w:eastAsia="ko-KR"/>
        </w:rPr>
        <w:t>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현재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다루는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여러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NM900</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새로운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NM020: OTC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이동시킬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w:t>
      </w:r>
    </w:p>
    <w:p w14:paraId="3FE10627"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p>
    <w:p w14:paraId="36B5D239" w14:textId="3E483A54"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또한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M020.80</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SPF</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15 </w:t>
      </w:r>
      <w:r w:rsidRPr="002C7F14">
        <w:rPr>
          <w:rFonts w:asciiTheme="minorEastAsia" w:eastAsiaTheme="minorEastAsia" w:hAnsiTheme="minorEastAsia" w:hint="eastAsia"/>
          <w:sz w:val="20"/>
          <w:lang w:eastAsia="ko-KR"/>
        </w:rPr>
        <w:t>미만이고</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M020.90</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광범위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스펙트럼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통과하지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햇빛으로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노화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위험을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감소시킨다는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주장을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표시하면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해당</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신약이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된다는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점을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NM020</w:t>
      </w:r>
      <w:r w:rsidRPr="002C7F14">
        <w:rPr>
          <w:rFonts w:asciiTheme="minorEastAsia" w:eastAsiaTheme="minorEastAsia" w:hAnsiTheme="minorEastAsia" w:hint="eastAsia"/>
          <w:sz w:val="20"/>
          <w:lang w:eastAsia="ko-KR"/>
        </w:rPr>
        <w:t>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명확히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있다</w:t>
      </w:r>
      <w:r w:rsidRPr="002C7F14">
        <w:rPr>
          <w:rFonts w:asciiTheme="minorEastAsia" w:eastAsiaTheme="minorEastAsia" w:hAnsiTheme="minorEastAsia"/>
          <w:sz w:val="20"/>
          <w:lang w:eastAsia="ko-KR"/>
        </w:rPr>
        <w:t>.</w:t>
      </w:r>
      <w:r w:rsidR="00E723DF" w:rsidRPr="002C7F14">
        <w:rPr>
          <w:rFonts w:asciiTheme="minorEastAsia" w:eastAsiaTheme="minorEastAsia" w:hAnsiTheme="minorEastAsia"/>
          <w:sz w:val="20"/>
          <w:lang w:eastAsia="ko-KR"/>
        </w:rPr>
        <w:t xml:space="preserve"> </w:t>
      </w:r>
    </w:p>
    <w:p w14:paraId="784E9631"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p>
    <w:p w14:paraId="75EDA844" w14:textId="77777777" w:rsidR="008C7286" w:rsidRPr="002C7F14" w:rsidRDefault="008C7286" w:rsidP="008C7286">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마지막으로</w:t>
      </w:r>
      <w:r w:rsidRPr="002C7F14">
        <w:rPr>
          <w:rFonts w:asciiTheme="minorEastAsia" w:eastAsiaTheme="minorEastAsia" w:hAnsiTheme="minorEastAsia"/>
          <w:sz w:val="20"/>
          <w:lang w:eastAsia="ko-KR"/>
        </w:rPr>
        <w:t>, FDA</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505G(b)(1)(C)</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자외선차단제를</w:t>
      </w:r>
      <w:r w:rsidRPr="002C7F14">
        <w:rPr>
          <w:rFonts w:asciiTheme="minorEastAsia" w:eastAsiaTheme="minorEastAsia" w:hAnsiTheme="minorEastAsia"/>
          <w:sz w:val="20"/>
          <w:lang w:eastAsia="ko-KR"/>
        </w:rPr>
        <w:t xml:space="preserve"> GRASE</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판단하는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새로운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특성을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NM020</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추가할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이러한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특성에는</w:t>
      </w:r>
      <w:r w:rsidRPr="002C7F14">
        <w:rPr>
          <w:rFonts w:asciiTheme="minorEastAsia" w:eastAsiaTheme="minorEastAsia" w:hAnsiTheme="minorEastAsia"/>
          <w:sz w:val="20"/>
          <w:lang w:eastAsia="ko-KR"/>
        </w:rPr>
        <w:t xml:space="preserve"> (1) GRASE</w:t>
      </w:r>
      <w:r w:rsidRPr="002C7F14">
        <w:rPr>
          <w:rFonts w:asciiTheme="minorEastAsia" w:eastAsiaTheme="minorEastAsia" w:hAnsiTheme="minorEastAsia" w:hint="eastAsia"/>
          <w:sz w:val="20"/>
          <w:lang w:eastAsia="ko-KR"/>
        </w:rPr>
        <w:t>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아니라고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함유함</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w:t>
      </w:r>
      <w:proofErr w:type="gramStart"/>
      <w:r w:rsidRPr="002C7F14">
        <w:rPr>
          <w:rFonts w:asciiTheme="minorEastAsia" w:eastAsiaTheme="minorEastAsia" w:hAnsiTheme="minorEastAsia"/>
          <w:sz w:val="20"/>
          <w:lang w:eastAsia="ko-KR"/>
        </w:rPr>
        <w:t>C.ii</w:t>
      </w:r>
      <w:proofErr w:type="gramEnd"/>
      <w:r w:rsidRPr="002C7F14">
        <w:rPr>
          <w:rFonts w:asciiTheme="minorEastAsia" w:eastAsiaTheme="minorEastAsia" w:hAnsiTheme="minorEastAsia"/>
          <w:sz w:val="20"/>
          <w:lang w:eastAsia="ko-KR"/>
        </w:rPr>
        <w:t xml:space="preserve">-iii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(2)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방충제 조합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사용하도록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표시되었거나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홍보됨</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VI.E.v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(3) </w:t>
      </w:r>
      <w:r w:rsidRPr="002C7F14">
        <w:rPr>
          <w:rFonts w:asciiTheme="minorEastAsia" w:eastAsiaTheme="minorEastAsia" w:hAnsiTheme="minorEastAsia" w:hint="eastAsia"/>
          <w:sz w:val="20"/>
          <w:lang w:eastAsia="ko-KR"/>
        </w:rPr>
        <w:t>최대</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광범위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스펙트럼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준수하지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못함</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VI.E.ii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 xml:space="preserve">), (4) </w:t>
      </w:r>
      <w:r w:rsidRPr="002C7F14">
        <w:rPr>
          <w:rFonts w:asciiTheme="minorEastAsia" w:eastAsiaTheme="minorEastAsia" w:hAnsiTheme="minorEastAsia" w:hint="eastAsia"/>
          <w:sz w:val="20"/>
          <w:lang w:eastAsia="ko-KR"/>
        </w:rPr>
        <w:t>다른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투여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준수하지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못함</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섹션</w:t>
      </w:r>
      <w:r w:rsidRPr="002C7F14">
        <w:rPr>
          <w:rFonts w:asciiTheme="minorEastAsia" w:eastAsiaTheme="minorEastAsia" w:hAnsiTheme="minorEastAsia"/>
          <w:sz w:val="20"/>
          <w:lang w:eastAsia="ko-KR"/>
        </w:rPr>
        <w:t xml:space="preserve"> VI.E.i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iv </w:t>
      </w:r>
      <w:r w:rsidRPr="002C7F14">
        <w:rPr>
          <w:rFonts w:asciiTheme="minorEastAsia" w:eastAsiaTheme="minorEastAsia" w:hAnsiTheme="minorEastAsia" w:hint="eastAsia"/>
          <w:sz w:val="20"/>
          <w:lang w:eastAsia="ko-KR"/>
        </w:rPr>
        <w:t>참조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포함된다</w:t>
      </w:r>
      <w:r w:rsidRPr="002C7F14">
        <w:rPr>
          <w:rFonts w:asciiTheme="minorEastAsia" w:eastAsiaTheme="minorEastAsia" w:hAnsiTheme="minorEastAsia"/>
          <w:sz w:val="20"/>
          <w:lang w:eastAsia="ko-KR"/>
        </w:rPr>
        <w:t xml:space="preserve">. </w:t>
      </w:r>
    </w:p>
    <w:p w14:paraId="79E4CC8F" w14:textId="54B7CA6C" w:rsidR="008C7286" w:rsidRPr="002C7F14" w:rsidRDefault="008C7286" w:rsidP="002944DB">
      <w:pPr>
        <w:pStyle w:val="a9"/>
        <w:spacing w:line="264" w:lineRule="auto"/>
        <w:jc w:val="both"/>
        <w:rPr>
          <w:rFonts w:asciiTheme="minorEastAsia" w:eastAsiaTheme="minorEastAsia" w:hAnsiTheme="minorEastAsia"/>
          <w:sz w:val="20"/>
          <w:lang w:eastAsia="ko-KR"/>
        </w:rPr>
      </w:pPr>
    </w:p>
    <w:p w14:paraId="620AC143" w14:textId="77777777" w:rsidR="0038093C" w:rsidRPr="002C7F14" w:rsidRDefault="0038093C" w:rsidP="0038093C">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발효일</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및</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시행</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접근방식</w:t>
      </w:r>
    </w:p>
    <w:p w14:paraId="51A52179" w14:textId="77777777" w:rsidR="0038093C" w:rsidRPr="002C7F14" w:rsidRDefault="0038093C" w:rsidP="0038093C">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CARES</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3854(c)(1)(B)</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공법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116</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136</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명령안에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최종</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조항의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발효일은</w:t>
      </w:r>
      <w:r w:rsidRPr="002C7F14">
        <w:rPr>
          <w:rFonts w:asciiTheme="minorEastAsia" w:eastAsiaTheme="minorEastAsia" w:hAnsiTheme="minorEastAsia"/>
          <w:sz w:val="20"/>
          <w:lang w:eastAsia="ko-KR"/>
        </w:rPr>
        <w:t xml:space="preserve"> 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505G(b)(2)(A)(iv)(I)</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505G(b)(3)(D)(ii)</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최종</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명령의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고시일로부터</w:t>
      </w:r>
      <w:r w:rsidRPr="002C7F14">
        <w:rPr>
          <w:rFonts w:asciiTheme="minorEastAsia" w:eastAsiaTheme="minorEastAsia" w:hAnsiTheme="minorEastAsia"/>
          <w:sz w:val="20"/>
          <w:lang w:eastAsia="ko-KR"/>
        </w:rPr>
        <w:t xml:space="preserve"> 1</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후이다</w:t>
      </w:r>
      <w:r w:rsidRPr="002C7F14">
        <w:rPr>
          <w:rFonts w:asciiTheme="minorEastAsia" w:eastAsiaTheme="minorEastAsia" w:hAnsiTheme="minorEastAsia"/>
          <w:sz w:val="20"/>
          <w:lang w:eastAsia="ko-KR"/>
        </w:rPr>
        <w:t xml:space="preserve">. </w:t>
      </w:r>
    </w:p>
    <w:p w14:paraId="4701FBA5"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p>
    <w:p w14:paraId="321FB6DE" w14:textId="77777777" w:rsidR="0038093C" w:rsidRPr="002C7F14" w:rsidRDefault="0038093C" w:rsidP="0038093C">
      <w:pPr>
        <w:pStyle w:val="a8"/>
        <w:numPr>
          <w:ilvl w:val="0"/>
          <w:numId w:val="20"/>
        </w:numPr>
        <w:spacing w:afterLines="100" w:after="240" w:line="264" w:lineRule="auto"/>
        <w:ind w:leftChars="0" w:left="2951"/>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제안된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및</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개정사항</w:t>
      </w:r>
    </w:p>
    <w:p w14:paraId="05B738E5" w14:textId="77777777" w:rsidR="0038093C" w:rsidRPr="002C7F14" w:rsidRDefault="0038093C" w:rsidP="0038093C">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FD&amp;C</w:t>
      </w:r>
      <w:r w:rsidRPr="002C7F14">
        <w:rPr>
          <w:rFonts w:asciiTheme="minorEastAsia" w:eastAsiaTheme="minorEastAsia" w:hAnsiTheme="minorEastAsia" w:hint="eastAsia"/>
          <w:sz w:val="20"/>
          <w:lang w:eastAsia="ko-KR"/>
        </w:rPr>
        <w:t>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505G(b)</w:t>
      </w:r>
      <w:r w:rsidRPr="002C7F14">
        <w:rPr>
          <w:rFonts w:asciiTheme="minorEastAsia" w:eastAsiaTheme="minorEastAsia" w:hAnsiTheme="minorEastAsia" w:hint="eastAsia"/>
          <w:sz w:val="20"/>
          <w:lang w:eastAsia="ko-KR"/>
        </w:rPr>
        <w:t>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식품의약국장에게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위임된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권한에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M016(</w:t>
      </w:r>
      <w:r w:rsidRPr="002C7F14">
        <w:rPr>
          <w:rFonts w:asciiTheme="minorEastAsia" w:eastAsiaTheme="minorEastAsia" w:hAnsiTheme="minorEastAsia" w:hint="eastAsia"/>
          <w:sz w:val="20"/>
          <w:lang w:eastAsia="ko-KR"/>
        </w:rPr>
        <w:t>인체용</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피부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w:t>
      </w:r>
      <w:r w:rsidRPr="002C7F14">
        <w:rPr>
          <w:rFonts w:asciiTheme="minorEastAsia" w:eastAsiaTheme="minorEastAsia" w:hAnsiTheme="minorEastAsia" w:hint="eastAsia"/>
          <w:sz w:val="20"/>
          <w:lang w:eastAsia="ko-KR"/>
        </w:rPr>
        <w:t>인체용</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NM900(</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용도를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일반의약품으로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제공된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특정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개정하고</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NM020(</w:t>
      </w:r>
      <w:r w:rsidRPr="002C7F14">
        <w:rPr>
          <w:rFonts w:asciiTheme="minorEastAsia" w:eastAsiaTheme="minorEastAsia" w:hAnsiTheme="minorEastAsia" w:hint="eastAsia"/>
          <w:sz w:val="20"/>
          <w:lang w:eastAsia="ko-KR"/>
        </w:rPr>
        <w:t>비모노그래프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NM020: </w:t>
      </w:r>
      <w:r w:rsidRPr="002C7F14">
        <w:rPr>
          <w:rFonts w:asciiTheme="minorEastAsia" w:eastAsiaTheme="minorEastAsia" w:hAnsiTheme="minorEastAsia" w:hint="eastAsia"/>
          <w:sz w:val="20"/>
          <w:lang w:eastAsia="ko-KR"/>
        </w:rPr>
        <w:t>인체용</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일반의약품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제정할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xml:space="preserve">. </w:t>
      </w:r>
    </w:p>
    <w:p w14:paraId="610E5F4A" w14:textId="77777777" w:rsidR="0038093C" w:rsidRPr="002C7F14" w:rsidRDefault="0038093C" w:rsidP="00766BDF">
      <w:pPr>
        <w:pStyle w:val="a9"/>
        <w:spacing w:line="264" w:lineRule="auto"/>
        <w:jc w:val="both"/>
        <w:rPr>
          <w:rFonts w:asciiTheme="minorEastAsia" w:eastAsiaTheme="minorEastAsia" w:hAnsiTheme="minorEastAsia"/>
          <w:sz w:val="20"/>
          <w:lang w:eastAsia="ko-KR"/>
        </w:rPr>
      </w:pPr>
    </w:p>
    <w:p w14:paraId="7F6A7943" w14:textId="77777777" w:rsidR="0038093C" w:rsidRPr="002C7F14" w:rsidRDefault="0038093C" w:rsidP="0038093C">
      <w:pPr>
        <w:pStyle w:val="a9"/>
        <w:spacing w:line="264" w:lineRule="auto"/>
        <w:ind w:firstLine="72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최종간주명령</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전체를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다음으로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대체함으로써</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 </w:t>
      </w:r>
      <w:r w:rsidRPr="002C7F14">
        <w:rPr>
          <w:rFonts w:asciiTheme="minorEastAsia" w:eastAsiaTheme="minorEastAsia" w:hAnsiTheme="minorEastAsia" w:hint="eastAsia"/>
          <w:sz w:val="20"/>
          <w:lang w:eastAsia="ko-KR"/>
        </w:rPr>
        <w:t>인체용</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개정할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제안한다</w:t>
      </w:r>
      <w:r w:rsidRPr="002C7F14">
        <w:rPr>
          <w:rFonts w:asciiTheme="minorEastAsia" w:eastAsiaTheme="minorEastAsia" w:hAnsiTheme="minorEastAsia"/>
          <w:sz w:val="20"/>
          <w:lang w:eastAsia="ko-KR"/>
        </w:rPr>
        <w:t xml:space="preserve">. </w:t>
      </w:r>
    </w:p>
    <w:p w14:paraId="32BB084F" w14:textId="2771DF5C" w:rsidR="0038093C" w:rsidRPr="002C7F14" w:rsidRDefault="0038093C" w:rsidP="00766BDF">
      <w:pPr>
        <w:pStyle w:val="a9"/>
        <w:spacing w:line="264" w:lineRule="auto"/>
        <w:jc w:val="center"/>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미국</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식품의약국</w:t>
      </w:r>
    </w:p>
    <w:p w14:paraId="5692A2CE" w14:textId="77777777" w:rsidR="00766BDF" w:rsidRPr="002C7F14" w:rsidRDefault="00766BDF" w:rsidP="00766BDF">
      <w:pPr>
        <w:pStyle w:val="a9"/>
        <w:spacing w:line="264" w:lineRule="auto"/>
        <w:jc w:val="both"/>
        <w:rPr>
          <w:rFonts w:asciiTheme="minorEastAsia" w:eastAsiaTheme="minorEastAsia" w:hAnsiTheme="minorEastAsia"/>
          <w:b/>
          <w:sz w:val="20"/>
          <w:lang w:eastAsia="ko-KR"/>
        </w:rPr>
      </w:pPr>
    </w:p>
    <w:p w14:paraId="4C3A9A09" w14:textId="77777777" w:rsidR="0038093C" w:rsidRPr="002C7F14" w:rsidRDefault="0038093C" w:rsidP="00766BDF">
      <w:pPr>
        <w:pStyle w:val="a9"/>
        <w:spacing w:line="264" w:lineRule="auto"/>
        <w:jc w:val="center"/>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일반의약품</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모노그래프</w:t>
      </w:r>
      <w:r w:rsidRPr="002C7F14">
        <w:rPr>
          <w:rFonts w:asciiTheme="minorEastAsia" w:eastAsiaTheme="minorEastAsia" w:hAnsiTheme="minorEastAsia"/>
          <w:b/>
          <w:sz w:val="20"/>
          <w:lang w:eastAsia="ko-KR"/>
        </w:rPr>
        <w:t xml:space="preserve"> M020:</w:t>
      </w:r>
    </w:p>
    <w:p w14:paraId="7F343537" w14:textId="075D7583" w:rsidR="0038093C" w:rsidRPr="002C7F14" w:rsidRDefault="0038093C" w:rsidP="00766BDF">
      <w:pPr>
        <w:pStyle w:val="a9"/>
        <w:spacing w:line="264" w:lineRule="auto"/>
        <w:jc w:val="center"/>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인체용</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일반의약품</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자외선</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차단</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의약품</w:t>
      </w:r>
    </w:p>
    <w:p w14:paraId="10EA790B" w14:textId="77777777" w:rsidR="0038093C" w:rsidRPr="002C7F14" w:rsidRDefault="0038093C" w:rsidP="00766BDF">
      <w:pPr>
        <w:pStyle w:val="a9"/>
        <w:spacing w:line="264" w:lineRule="auto"/>
        <w:jc w:val="center"/>
        <w:rPr>
          <w:rFonts w:asciiTheme="minorEastAsia" w:eastAsiaTheme="minorEastAsia" w:hAnsiTheme="minorEastAsia"/>
          <w:b/>
          <w:sz w:val="20"/>
          <w:lang w:eastAsia="ko-KR"/>
        </w:rPr>
      </w:pPr>
      <w:r w:rsidRPr="002C7F14">
        <w:rPr>
          <w:rFonts w:asciiTheme="minorEastAsia" w:eastAsiaTheme="minorEastAsia" w:hAnsiTheme="minorEastAsia"/>
          <w:b/>
          <w:sz w:val="20"/>
          <w:lang w:eastAsia="ko-KR"/>
        </w:rPr>
        <w:t>(2021</w:t>
      </w:r>
      <w:r w:rsidRPr="002C7F14">
        <w:rPr>
          <w:rFonts w:asciiTheme="minorEastAsia" w:eastAsiaTheme="minorEastAsia" w:hAnsiTheme="minorEastAsia" w:hint="eastAsia"/>
          <w:b/>
          <w:sz w:val="20"/>
          <w:lang w:eastAsia="ko-KR"/>
        </w:rPr>
        <w:t>년</w:t>
      </w:r>
      <w:r w:rsidRPr="002C7F14">
        <w:rPr>
          <w:rFonts w:asciiTheme="minorEastAsia" w:eastAsiaTheme="minorEastAsia" w:hAnsiTheme="minorEastAsia"/>
          <w:b/>
          <w:sz w:val="20"/>
          <w:lang w:eastAsia="ko-KR"/>
        </w:rPr>
        <w:t xml:space="preserve"> 9</w:t>
      </w:r>
      <w:r w:rsidRPr="002C7F14">
        <w:rPr>
          <w:rFonts w:asciiTheme="minorEastAsia" w:eastAsiaTheme="minorEastAsia" w:hAnsiTheme="minorEastAsia" w:hint="eastAsia"/>
          <w:b/>
          <w:sz w:val="20"/>
          <w:lang w:eastAsia="ko-KR"/>
        </w:rPr>
        <w:t>월</w:t>
      </w:r>
      <w:r w:rsidRPr="002C7F14">
        <w:rPr>
          <w:rFonts w:asciiTheme="minorEastAsia" w:eastAsiaTheme="minorEastAsia" w:hAnsiTheme="minorEastAsia"/>
          <w:b/>
          <w:sz w:val="20"/>
          <w:lang w:eastAsia="ko-KR"/>
        </w:rPr>
        <w:t xml:space="preserve"> 24</w:t>
      </w:r>
      <w:r w:rsidRPr="002C7F14">
        <w:rPr>
          <w:rFonts w:asciiTheme="minorEastAsia" w:eastAsiaTheme="minorEastAsia" w:hAnsiTheme="minorEastAsia" w:hint="eastAsia"/>
          <w:b/>
          <w:sz w:val="20"/>
          <w:lang w:eastAsia="ko-KR"/>
        </w:rPr>
        <w:t>일</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발행된</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제안</w:t>
      </w:r>
      <w:r w:rsidRPr="002C7F14">
        <w:rPr>
          <w:rFonts w:asciiTheme="minorEastAsia" w:eastAsiaTheme="minorEastAsia" w:hAnsiTheme="minorEastAsia"/>
          <w:b/>
          <w:sz w:val="20"/>
          <w:lang w:eastAsia="ko-KR"/>
        </w:rPr>
        <w:t>)</w:t>
      </w:r>
    </w:p>
    <w:p w14:paraId="0E324A6E" w14:textId="77777777" w:rsidR="0038093C" w:rsidRPr="002C7F14" w:rsidRDefault="0038093C" w:rsidP="00766BDF">
      <w:pPr>
        <w:pStyle w:val="a9"/>
        <w:spacing w:line="264" w:lineRule="auto"/>
        <w:jc w:val="both"/>
        <w:rPr>
          <w:rFonts w:asciiTheme="minorEastAsia" w:eastAsiaTheme="minorEastAsia" w:hAnsiTheme="minorEastAsia"/>
          <w:sz w:val="20"/>
          <w:lang w:eastAsia="ko-KR"/>
        </w:rPr>
      </w:pPr>
    </w:p>
    <w:p w14:paraId="3A5E109D" w14:textId="77777777" w:rsidR="0038093C" w:rsidRPr="002C7F14" w:rsidRDefault="0038093C" w:rsidP="0038093C">
      <w:pPr>
        <w:pStyle w:val="a9"/>
        <w:spacing w:line="264" w:lineRule="auto"/>
        <w:jc w:val="both"/>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제</w:t>
      </w:r>
      <w:r w:rsidRPr="002C7F14">
        <w:rPr>
          <w:rFonts w:asciiTheme="minorEastAsia" w:eastAsiaTheme="minorEastAsia" w:hAnsiTheme="minorEastAsia"/>
          <w:b/>
          <w:sz w:val="20"/>
          <w:lang w:eastAsia="ko-KR"/>
        </w:rPr>
        <w:t>A</w:t>
      </w:r>
      <w:r w:rsidRPr="002C7F14">
        <w:rPr>
          <w:rFonts w:asciiTheme="minorEastAsia" w:eastAsiaTheme="minorEastAsia" w:hAnsiTheme="minorEastAsia" w:hint="eastAsia"/>
          <w:b/>
          <w:sz w:val="20"/>
          <w:lang w:eastAsia="ko-KR"/>
        </w:rPr>
        <w:t>부—일반</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조항</w:t>
      </w:r>
    </w:p>
    <w:p w14:paraId="45B028C8"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p>
    <w:p w14:paraId="12196104"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bookmarkStart w:id="2" w:name="Sec."/>
      <w:bookmarkEnd w:id="2"/>
      <w:r w:rsidRPr="002C7F14">
        <w:rPr>
          <w:rFonts w:asciiTheme="minorEastAsia" w:eastAsiaTheme="minorEastAsia" w:hAnsiTheme="minorEastAsia" w:hint="eastAsia"/>
          <w:sz w:val="20"/>
          <w:lang w:eastAsia="ko-KR"/>
        </w:rPr>
        <w:t>조</w:t>
      </w:r>
    </w:p>
    <w:p w14:paraId="72ABA08E"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bookmarkStart w:id="3" w:name="M020.1_Scope"/>
      <w:bookmarkEnd w:id="3"/>
      <w:r w:rsidRPr="002C7F14">
        <w:rPr>
          <w:rFonts w:asciiTheme="minorEastAsia" w:eastAsiaTheme="minorEastAsia" w:hAnsiTheme="minorEastAsia"/>
          <w:sz w:val="20"/>
          <w:lang w:eastAsia="ko-KR"/>
        </w:rPr>
        <w:t xml:space="preserve">M020.1 </w:t>
      </w:r>
      <w:r w:rsidRPr="002C7F14">
        <w:rPr>
          <w:rFonts w:asciiTheme="minorEastAsia" w:eastAsiaTheme="minorEastAsia" w:hAnsiTheme="minorEastAsia" w:hint="eastAsia"/>
          <w:sz w:val="20"/>
          <w:lang w:eastAsia="ko-KR"/>
        </w:rPr>
        <w:t>범위</w:t>
      </w:r>
      <w:r w:rsidRPr="002C7F14">
        <w:rPr>
          <w:rFonts w:asciiTheme="minorEastAsia" w:eastAsiaTheme="minorEastAsia" w:hAnsiTheme="minorEastAsia"/>
          <w:sz w:val="20"/>
          <w:lang w:eastAsia="ko-KR"/>
        </w:rPr>
        <w:t xml:space="preserve"> </w:t>
      </w:r>
      <w:bookmarkStart w:id="4" w:name="M020.3_Definitions"/>
      <w:bookmarkStart w:id="5" w:name="M020.5_Sun_protection_factor_related_con"/>
      <w:bookmarkEnd w:id="4"/>
      <w:bookmarkEnd w:id="5"/>
    </w:p>
    <w:p w14:paraId="3D3B5A14"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M020.3 </w:t>
      </w:r>
      <w:r w:rsidRPr="002C7F14">
        <w:rPr>
          <w:rFonts w:asciiTheme="minorEastAsia" w:eastAsiaTheme="minorEastAsia" w:hAnsiTheme="minorEastAsia" w:hint="eastAsia"/>
          <w:sz w:val="20"/>
          <w:lang w:eastAsia="ko-KR"/>
        </w:rPr>
        <w:t>정의</w:t>
      </w:r>
    </w:p>
    <w:p w14:paraId="28FB79B9"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M020.5 </w:t>
      </w:r>
      <w:r w:rsidRPr="002C7F14">
        <w:rPr>
          <w:rFonts w:asciiTheme="minorEastAsia" w:eastAsiaTheme="minorEastAsia" w:hAnsiTheme="minorEastAsia" w:hint="eastAsia"/>
          <w:sz w:val="20"/>
          <w:lang w:eastAsia="ko-KR"/>
        </w:rPr>
        <w:t>자외선차단지수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p>
    <w:p w14:paraId="52797A7C" w14:textId="77777777" w:rsidR="0038093C" w:rsidRPr="002C7F14" w:rsidRDefault="0038093C" w:rsidP="0038093C">
      <w:pPr>
        <w:pStyle w:val="a9"/>
        <w:spacing w:line="264" w:lineRule="auto"/>
        <w:jc w:val="both"/>
        <w:rPr>
          <w:rFonts w:asciiTheme="minorEastAsia" w:eastAsiaTheme="minorEastAsia" w:hAnsiTheme="minorEastAsia"/>
          <w:sz w:val="20"/>
          <w:lang w:eastAsia="ko-KR"/>
        </w:rPr>
      </w:pPr>
    </w:p>
    <w:p w14:paraId="09EA7D94" w14:textId="195CBD71" w:rsidR="00E00EEF" w:rsidRPr="002C7F14" w:rsidRDefault="0038093C" w:rsidP="0038093C">
      <w:pPr>
        <w:pStyle w:val="a9"/>
        <w:spacing w:line="264" w:lineRule="auto"/>
        <w:jc w:val="both"/>
        <w:rPr>
          <w:rFonts w:asciiTheme="minorEastAsia" w:eastAsiaTheme="minorEastAsia" w:hAnsiTheme="minorEastAsia"/>
          <w:b/>
          <w:sz w:val="20"/>
          <w:lang w:eastAsia="ko-KR"/>
        </w:rPr>
      </w:pPr>
      <w:bookmarkStart w:id="6" w:name="Part_B—Active_Ingredients,_Route_of_Admi"/>
      <w:bookmarkEnd w:id="6"/>
      <w:r w:rsidRPr="002C7F14">
        <w:rPr>
          <w:rFonts w:asciiTheme="minorEastAsia" w:eastAsiaTheme="minorEastAsia" w:hAnsiTheme="minorEastAsia" w:hint="eastAsia"/>
          <w:b/>
          <w:sz w:val="20"/>
          <w:lang w:eastAsia="ko-KR"/>
        </w:rPr>
        <w:t>제</w:t>
      </w:r>
      <w:r w:rsidRPr="002C7F14">
        <w:rPr>
          <w:rFonts w:asciiTheme="minorEastAsia" w:eastAsiaTheme="minorEastAsia" w:hAnsiTheme="minorEastAsia"/>
          <w:b/>
          <w:sz w:val="20"/>
          <w:lang w:eastAsia="ko-KR"/>
        </w:rPr>
        <w:t>B</w:t>
      </w:r>
      <w:r w:rsidRPr="002C7F14">
        <w:rPr>
          <w:rFonts w:asciiTheme="minorEastAsia" w:eastAsiaTheme="minorEastAsia" w:hAnsiTheme="minorEastAsia" w:hint="eastAsia"/>
          <w:b/>
          <w:sz w:val="20"/>
          <w:lang w:eastAsia="ko-KR"/>
        </w:rPr>
        <w:t>부—활성성분</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투여</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경로</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및</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투여</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형태</w:t>
      </w:r>
    </w:p>
    <w:p w14:paraId="51A37AA1" w14:textId="07A45D7D" w:rsidR="00E00EEF" w:rsidRPr="002C7F14" w:rsidRDefault="00E00EEF" w:rsidP="00E56B26">
      <w:pPr>
        <w:pStyle w:val="a9"/>
        <w:spacing w:line="264" w:lineRule="auto"/>
        <w:jc w:val="both"/>
        <w:rPr>
          <w:rFonts w:asciiTheme="minorEastAsia" w:eastAsiaTheme="minorEastAsia" w:hAnsiTheme="minorEastAsia"/>
          <w:sz w:val="20"/>
          <w:lang w:eastAsia="ko-KR"/>
        </w:rPr>
      </w:pPr>
    </w:p>
    <w:p w14:paraId="6843532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M020.10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p>
    <w:p w14:paraId="79D93A9B"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bookmarkStart w:id="7" w:name="M020.20_Permitted_combinations_of_active"/>
      <w:bookmarkEnd w:id="7"/>
      <w:r w:rsidRPr="002C7F14">
        <w:rPr>
          <w:rFonts w:asciiTheme="minorEastAsia" w:eastAsiaTheme="minorEastAsia" w:hAnsiTheme="minorEastAsia"/>
          <w:sz w:val="20"/>
          <w:lang w:eastAsia="ko-KR"/>
        </w:rPr>
        <w:t xml:space="preserve">M020.20 </w:t>
      </w:r>
      <w:r w:rsidRPr="002C7F14">
        <w:rPr>
          <w:rFonts w:asciiTheme="minorEastAsia" w:eastAsiaTheme="minorEastAsia" w:hAnsiTheme="minorEastAsia" w:hint="eastAsia"/>
          <w:sz w:val="20"/>
          <w:lang w:eastAsia="ko-KR"/>
        </w:rPr>
        <w:t>허용된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w:t>
      </w:r>
      <w:r w:rsidRPr="002C7F14">
        <w:rPr>
          <w:rFonts w:asciiTheme="minorEastAsia" w:eastAsiaTheme="minorEastAsia" w:hAnsiTheme="minorEastAsia"/>
          <w:sz w:val="20"/>
          <w:lang w:eastAsia="ko-KR"/>
        </w:rPr>
        <w:t xml:space="preserve"> </w:t>
      </w:r>
    </w:p>
    <w:p w14:paraId="1DAA44CC"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M020.30 </w:t>
      </w:r>
      <w:r w:rsidRPr="002C7F14">
        <w:rPr>
          <w:rFonts w:asciiTheme="minorEastAsia" w:eastAsiaTheme="minorEastAsia" w:hAnsiTheme="minorEastAsia" w:hint="eastAsia"/>
          <w:sz w:val="20"/>
          <w:lang w:eastAsia="ko-KR"/>
        </w:rPr>
        <w:t>투여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경로</w:t>
      </w:r>
    </w:p>
    <w:p w14:paraId="281DFC96"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M020.40 </w:t>
      </w:r>
      <w:r w:rsidRPr="002C7F14">
        <w:rPr>
          <w:rFonts w:asciiTheme="minorEastAsia" w:eastAsiaTheme="minorEastAsia" w:hAnsiTheme="minorEastAsia" w:hint="eastAsia"/>
          <w:sz w:val="20"/>
          <w:lang w:eastAsia="ko-KR"/>
        </w:rPr>
        <w:t>투여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형태</w:t>
      </w:r>
    </w:p>
    <w:p w14:paraId="216FBBFE"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568BCD46" w14:textId="77777777" w:rsidR="00E56B26" w:rsidRPr="002C7F14" w:rsidRDefault="00E56B26" w:rsidP="00E56B26">
      <w:pPr>
        <w:pStyle w:val="a9"/>
        <w:spacing w:line="264" w:lineRule="auto"/>
        <w:jc w:val="both"/>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제</w:t>
      </w:r>
      <w:r w:rsidRPr="002C7F14">
        <w:rPr>
          <w:rFonts w:asciiTheme="minorEastAsia" w:eastAsiaTheme="minorEastAsia" w:hAnsiTheme="minorEastAsia"/>
          <w:b/>
          <w:sz w:val="20"/>
          <w:lang w:eastAsia="ko-KR"/>
        </w:rPr>
        <w:t>C</w:t>
      </w:r>
      <w:r w:rsidRPr="002C7F14">
        <w:rPr>
          <w:rFonts w:asciiTheme="minorEastAsia" w:eastAsiaTheme="minorEastAsia" w:hAnsiTheme="minorEastAsia" w:hint="eastAsia"/>
          <w:b/>
          <w:sz w:val="20"/>
          <w:lang w:eastAsia="ko-KR"/>
        </w:rPr>
        <w:t>부—라벨링</w:t>
      </w:r>
    </w:p>
    <w:p w14:paraId="4C4ED3A4"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071A12EC"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M020.50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주요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패널</w:t>
      </w:r>
    </w:p>
    <w:p w14:paraId="0E54A12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M020.52 </w:t>
      </w:r>
      <w:r w:rsidRPr="002C7F14">
        <w:rPr>
          <w:rFonts w:asciiTheme="minorEastAsia" w:eastAsiaTheme="minorEastAsia" w:hAnsiTheme="minorEastAsia" w:hint="eastAsia"/>
          <w:sz w:val="20"/>
          <w:lang w:eastAsia="ko-KR"/>
        </w:rPr>
        <w:t>하나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이상의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p>
    <w:p w14:paraId="5FB64E1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M020.60 </w:t>
      </w: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피부보호제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조합을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라벨링</w:t>
      </w:r>
    </w:p>
    <w:p w14:paraId="6FDDF5A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312533AD" w14:textId="77777777" w:rsidR="00E56B26" w:rsidRPr="002C7F14" w:rsidRDefault="00E56B26" w:rsidP="00E56B26">
      <w:pPr>
        <w:pStyle w:val="a9"/>
        <w:spacing w:line="264" w:lineRule="auto"/>
        <w:jc w:val="both"/>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제</w:t>
      </w:r>
      <w:r w:rsidRPr="002C7F14">
        <w:rPr>
          <w:rFonts w:asciiTheme="minorEastAsia" w:eastAsiaTheme="minorEastAsia" w:hAnsiTheme="minorEastAsia"/>
          <w:b/>
          <w:sz w:val="20"/>
          <w:lang w:eastAsia="ko-KR"/>
        </w:rPr>
        <w:t>D</w:t>
      </w:r>
      <w:r w:rsidRPr="002C7F14">
        <w:rPr>
          <w:rFonts w:asciiTheme="minorEastAsia" w:eastAsiaTheme="minorEastAsia" w:hAnsiTheme="minorEastAsia" w:hint="eastAsia"/>
          <w:b/>
          <w:sz w:val="20"/>
          <w:lang w:eastAsia="ko-KR"/>
        </w:rPr>
        <w:t>부—최종</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제형</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시험</w:t>
      </w:r>
    </w:p>
    <w:p w14:paraId="7B3C360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4FF0D37A"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bookmarkStart w:id="8" w:name="M020.70_General_obligations_of_responsib"/>
      <w:bookmarkEnd w:id="8"/>
      <w:r w:rsidRPr="002C7F14">
        <w:rPr>
          <w:rFonts w:asciiTheme="minorEastAsia" w:eastAsiaTheme="minorEastAsia" w:hAnsiTheme="minorEastAsia"/>
          <w:sz w:val="20"/>
          <w:lang w:eastAsia="ko-KR"/>
        </w:rPr>
        <w:t xml:space="preserve">M020.70 </w:t>
      </w:r>
      <w:r w:rsidRPr="002C7F14">
        <w:rPr>
          <w:rFonts w:asciiTheme="minorEastAsia" w:eastAsiaTheme="minorEastAsia" w:hAnsiTheme="minorEastAsia" w:hint="eastAsia"/>
          <w:sz w:val="20"/>
          <w:lang w:eastAsia="ko-KR"/>
        </w:rPr>
        <w:t>책임자의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의무</w:t>
      </w:r>
      <w:r w:rsidRPr="002C7F14">
        <w:rPr>
          <w:rFonts w:asciiTheme="minorEastAsia" w:eastAsiaTheme="minorEastAsia" w:hAnsiTheme="minorEastAsia"/>
          <w:sz w:val="20"/>
          <w:lang w:eastAsia="ko-KR"/>
        </w:rPr>
        <w:t xml:space="preserve"> </w:t>
      </w:r>
      <w:bookmarkStart w:id="9" w:name="M020.80__Sun_Protection_Factor_(SPF)_tes"/>
      <w:bookmarkEnd w:id="9"/>
    </w:p>
    <w:p w14:paraId="64EDC6C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M020.80 </w:t>
      </w:r>
      <w:r w:rsidRPr="002C7F14">
        <w:rPr>
          <w:rFonts w:asciiTheme="minorEastAsia" w:eastAsiaTheme="minorEastAsia" w:hAnsiTheme="minorEastAsia" w:hint="eastAsia"/>
          <w:sz w:val="20"/>
          <w:lang w:eastAsia="ko-KR"/>
        </w:rPr>
        <w:t>자외선차단지수</w:t>
      </w:r>
      <w:r w:rsidRPr="002C7F14">
        <w:rPr>
          <w:rFonts w:asciiTheme="minorEastAsia" w:eastAsiaTheme="minorEastAsia" w:hAnsiTheme="minorEastAsia"/>
          <w:sz w:val="20"/>
          <w:lang w:eastAsia="ko-KR"/>
        </w:rPr>
        <w:t xml:space="preserve">(SPF)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bookmarkStart w:id="10" w:name="M020.90__Broad_spectrum_testing"/>
      <w:bookmarkStart w:id="11" w:name="M020.100__Regulatory_status_of_final_for"/>
      <w:bookmarkEnd w:id="10"/>
      <w:bookmarkEnd w:id="11"/>
    </w:p>
    <w:p w14:paraId="10EEFFB5"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M020.90 </w:t>
      </w:r>
      <w:r w:rsidRPr="002C7F14">
        <w:rPr>
          <w:rFonts w:asciiTheme="minorEastAsia" w:eastAsiaTheme="minorEastAsia" w:hAnsiTheme="minorEastAsia" w:hint="eastAsia"/>
          <w:sz w:val="20"/>
          <w:lang w:eastAsia="ko-KR"/>
        </w:rPr>
        <w:t>광범위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스펙트럼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p>
    <w:p w14:paraId="3BD48691"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bookmarkStart w:id="12" w:name="M020.110__Recordkeeping"/>
      <w:bookmarkEnd w:id="12"/>
      <w:r w:rsidRPr="002C7F14">
        <w:rPr>
          <w:rFonts w:asciiTheme="minorEastAsia" w:eastAsiaTheme="minorEastAsia" w:hAnsiTheme="minorEastAsia"/>
          <w:sz w:val="20"/>
          <w:lang w:eastAsia="ko-KR"/>
        </w:rPr>
        <w:t xml:space="preserve">M020.100 </w:t>
      </w:r>
      <w:r w:rsidRPr="002C7F14">
        <w:rPr>
          <w:rFonts w:asciiTheme="minorEastAsia" w:eastAsiaTheme="minorEastAsia" w:hAnsiTheme="minorEastAsia" w:hint="eastAsia"/>
          <w:sz w:val="20"/>
          <w:lang w:eastAsia="ko-KR"/>
        </w:rPr>
        <w:t>최종</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요구사항의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상태</w:t>
      </w:r>
      <w:r w:rsidRPr="002C7F14">
        <w:rPr>
          <w:rFonts w:asciiTheme="minorEastAsia" w:eastAsiaTheme="minorEastAsia" w:hAnsiTheme="minorEastAsia"/>
          <w:sz w:val="20"/>
          <w:lang w:eastAsia="ko-KR"/>
        </w:rPr>
        <w:t xml:space="preserve"> </w:t>
      </w:r>
    </w:p>
    <w:p w14:paraId="633B2AE9"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M020.110 </w:t>
      </w:r>
      <w:r w:rsidRPr="002C7F14">
        <w:rPr>
          <w:rFonts w:asciiTheme="minorEastAsia" w:eastAsiaTheme="minorEastAsia" w:hAnsiTheme="minorEastAsia" w:hint="eastAsia"/>
          <w:sz w:val="20"/>
          <w:lang w:eastAsia="ko-KR"/>
        </w:rPr>
        <w:t>기록</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보관</w:t>
      </w:r>
    </w:p>
    <w:p w14:paraId="6FEA1C5C"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0631F876" w14:textId="2A519255" w:rsidR="00E56B26" w:rsidRPr="002C7F14" w:rsidRDefault="00E56B26" w:rsidP="00E56B26">
      <w:pPr>
        <w:pStyle w:val="a9"/>
        <w:spacing w:line="264" w:lineRule="auto"/>
        <w:jc w:val="both"/>
        <w:rPr>
          <w:rFonts w:asciiTheme="minorEastAsia" w:eastAsiaTheme="minorEastAsia" w:hAnsiTheme="minorEastAsia"/>
          <w:b/>
          <w:sz w:val="20"/>
          <w:lang w:eastAsia="ko-KR"/>
        </w:rPr>
      </w:pPr>
      <w:bookmarkStart w:id="13" w:name="Part_A—General_Provisions"/>
      <w:bookmarkEnd w:id="13"/>
      <w:r w:rsidRPr="002C7F14">
        <w:rPr>
          <w:rFonts w:asciiTheme="minorEastAsia" w:eastAsiaTheme="minorEastAsia" w:hAnsiTheme="minorEastAsia" w:hint="eastAsia"/>
          <w:b/>
          <w:sz w:val="20"/>
          <w:lang w:eastAsia="ko-KR"/>
        </w:rPr>
        <w:t>제</w:t>
      </w:r>
      <w:r w:rsidRPr="002C7F14">
        <w:rPr>
          <w:rFonts w:asciiTheme="minorEastAsia" w:eastAsiaTheme="minorEastAsia" w:hAnsiTheme="minorEastAsia"/>
          <w:b/>
          <w:sz w:val="20"/>
          <w:lang w:eastAsia="ko-KR"/>
        </w:rPr>
        <w:t>A</w:t>
      </w:r>
      <w:r w:rsidRPr="002C7F14">
        <w:rPr>
          <w:rFonts w:asciiTheme="minorEastAsia" w:eastAsiaTheme="minorEastAsia" w:hAnsiTheme="minorEastAsia" w:hint="eastAsia"/>
          <w:b/>
          <w:sz w:val="20"/>
          <w:lang w:eastAsia="ko-KR"/>
        </w:rPr>
        <w:t>부—일반</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조항</w:t>
      </w:r>
    </w:p>
    <w:p w14:paraId="461576F9" w14:textId="77777777" w:rsidR="00E56B26" w:rsidRPr="002C7F14" w:rsidRDefault="00E56B26" w:rsidP="00E56B26">
      <w:pPr>
        <w:pStyle w:val="a9"/>
        <w:spacing w:line="264" w:lineRule="auto"/>
        <w:jc w:val="both"/>
        <w:rPr>
          <w:rFonts w:asciiTheme="minorEastAsia" w:eastAsiaTheme="minorEastAsia" w:hAnsiTheme="minorEastAsia"/>
          <w:b/>
          <w:sz w:val="20"/>
          <w:lang w:eastAsia="ko-KR"/>
        </w:rPr>
      </w:pPr>
      <w:bookmarkStart w:id="14" w:name="§_M020.1_Scope"/>
      <w:bookmarkEnd w:id="14"/>
      <w:r w:rsidRPr="002C7F14">
        <w:rPr>
          <w:rFonts w:asciiTheme="minorEastAsia" w:eastAsiaTheme="minorEastAsia" w:hAnsiTheme="minorEastAsia" w:hint="eastAsia"/>
          <w:b/>
          <w:sz w:val="20"/>
          <w:lang w:eastAsia="ko-KR"/>
        </w:rPr>
        <w:t>§</w:t>
      </w:r>
      <w:r w:rsidRPr="002C7F14">
        <w:rPr>
          <w:rFonts w:asciiTheme="minorEastAsia" w:eastAsiaTheme="minorEastAsia" w:hAnsiTheme="minorEastAsia"/>
          <w:b/>
          <w:sz w:val="20"/>
          <w:lang w:eastAsia="ko-KR"/>
        </w:rPr>
        <w:t xml:space="preserve"> M020.1 </w:t>
      </w:r>
      <w:r w:rsidRPr="002C7F14">
        <w:rPr>
          <w:rFonts w:asciiTheme="minorEastAsia" w:eastAsiaTheme="minorEastAsia" w:hAnsiTheme="minorEastAsia" w:hint="eastAsia"/>
          <w:b/>
          <w:sz w:val="20"/>
          <w:lang w:eastAsia="ko-KR"/>
        </w:rPr>
        <w:t>범위</w:t>
      </w:r>
    </w:p>
    <w:p w14:paraId="40821074"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58BE132C"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bookmarkStart w:id="15" w:name="An_over-the-counter_(OTC)_sunscreen_drug"/>
      <w:bookmarkEnd w:id="15"/>
      <w:r w:rsidRPr="002C7F14">
        <w:rPr>
          <w:rFonts w:asciiTheme="minorEastAsia" w:eastAsiaTheme="minorEastAsia" w:hAnsiTheme="minorEastAsia" w:hint="eastAsia"/>
          <w:sz w:val="20"/>
          <w:lang w:eastAsia="ko-KR"/>
        </w:rPr>
        <w:t>일반의약품</w:t>
      </w:r>
      <w:r w:rsidRPr="002C7F14">
        <w:rPr>
          <w:rFonts w:asciiTheme="minorEastAsia" w:eastAsiaTheme="minorEastAsia" w:hAnsiTheme="minorEastAsia"/>
          <w:sz w:val="20"/>
          <w:lang w:eastAsia="ko-KR"/>
        </w:rPr>
        <w:t xml:space="preserve">(OTC)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의약품은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본</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및</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21</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330.1</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규정된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충족하는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일반적으로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안전하고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효과적인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인정된다</w:t>
      </w:r>
      <w:r w:rsidRPr="002C7F14">
        <w:rPr>
          <w:rFonts w:asciiTheme="minorEastAsia" w:eastAsiaTheme="minorEastAsia" w:hAnsiTheme="minorEastAsia"/>
          <w:sz w:val="20"/>
          <w:lang w:eastAsia="ko-KR"/>
        </w:rPr>
        <w:t>.</w:t>
      </w:r>
    </w:p>
    <w:p w14:paraId="0EF26172"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0390F975" w14:textId="77777777" w:rsidR="00E56B26" w:rsidRPr="002C7F14" w:rsidRDefault="00E56B26" w:rsidP="00E56B26">
      <w:pPr>
        <w:pStyle w:val="a9"/>
        <w:spacing w:line="264" w:lineRule="auto"/>
        <w:jc w:val="both"/>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w:t>
      </w:r>
      <w:r w:rsidRPr="002C7F14">
        <w:rPr>
          <w:rFonts w:asciiTheme="minorEastAsia" w:eastAsiaTheme="minorEastAsia" w:hAnsiTheme="minorEastAsia"/>
          <w:b/>
          <w:sz w:val="20"/>
          <w:lang w:eastAsia="ko-KR"/>
        </w:rPr>
        <w:t xml:space="preserve"> M020.3 </w:t>
      </w:r>
      <w:r w:rsidRPr="002C7F14">
        <w:rPr>
          <w:rFonts w:asciiTheme="minorEastAsia" w:eastAsiaTheme="minorEastAsia" w:hAnsiTheme="minorEastAsia" w:hint="eastAsia"/>
          <w:b/>
          <w:sz w:val="20"/>
          <w:lang w:eastAsia="ko-KR"/>
        </w:rPr>
        <w:t>정의</w:t>
      </w:r>
    </w:p>
    <w:p w14:paraId="6BBEA2F7"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0B7ED70B"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w:t>
      </w:r>
      <w:r w:rsidRPr="002C7F14">
        <w:rPr>
          <w:rFonts w:asciiTheme="minorEastAsia" w:eastAsiaTheme="minorEastAsia" w:hAnsiTheme="minorEastAsia"/>
          <w:sz w:val="20"/>
          <w:lang w:eastAsia="ko-KR"/>
        </w:rPr>
        <w:t>:</w:t>
      </w:r>
    </w:p>
    <w:p w14:paraId="1C0C7779" w14:textId="77777777" w:rsidR="00E56B26" w:rsidRPr="002C7F14" w:rsidRDefault="00E56B26" w:rsidP="00E56B26">
      <w:pPr>
        <w:pStyle w:val="a9"/>
        <w:spacing w:line="264" w:lineRule="auto"/>
        <w:jc w:val="both"/>
        <w:rPr>
          <w:rFonts w:asciiTheme="minorEastAsia" w:eastAsiaTheme="minorEastAsia" w:hAnsiTheme="minorEastAsia"/>
          <w:sz w:val="20"/>
          <w:lang w:eastAsia="ko-KR"/>
        </w:rPr>
      </w:pPr>
    </w:p>
    <w:p w14:paraId="0BE0E082" w14:textId="416402D6" w:rsidR="00E56B26" w:rsidRPr="002C7F14" w:rsidRDefault="00E56B26"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자외선차단제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290~400 </w:t>
      </w:r>
      <w:r w:rsidRPr="002C7F14">
        <w:rPr>
          <w:rFonts w:asciiTheme="minorEastAsia" w:eastAsiaTheme="minorEastAsia" w:hAnsiTheme="minorEastAsia" w:hint="eastAsia"/>
          <w:sz w:val="20"/>
          <w:lang w:eastAsia="ko-KR"/>
        </w:rPr>
        <w:t>나노미터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파장의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w:t>
      </w:r>
      <w:r w:rsidRPr="002C7F14">
        <w:rPr>
          <w:rFonts w:asciiTheme="minorEastAsia" w:eastAsiaTheme="minorEastAsia" w:hAnsiTheme="minorEastAsia"/>
          <w:sz w:val="20"/>
          <w:lang w:eastAsia="ko-KR"/>
        </w:rPr>
        <w:t xml:space="preserve">(UV) </w:t>
      </w:r>
      <w:r w:rsidRPr="002C7F14">
        <w:rPr>
          <w:rFonts w:asciiTheme="minorEastAsia" w:eastAsiaTheme="minorEastAsia" w:hAnsiTheme="minorEastAsia" w:hint="eastAsia"/>
          <w:sz w:val="20"/>
          <w:lang w:eastAsia="ko-KR"/>
        </w:rPr>
        <w:t>범위에서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방사선을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흡수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반사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산란시키는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w:t>
      </w:r>
      <w:r w:rsidRPr="002C7F14">
        <w:rPr>
          <w:rFonts w:asciiTheme="minorEastAsia" w:eastAsiaTheme="minorEastAsia" w:hAnsiTheme="minorEastAsia"/>
          <w:sz w:val="20"/>
          <w:lang w:eastAsia="ko-KR"/>
        </w:rPr>
        <w:t xml:space="preserve">. </w:t>
      </w:r>
    </w:p>
    <w:p w14:paraId="361DBB3E" w14:textId="34CDA43C" w:rsidR="00E56B26" w:rsidRPr="002C7F14" w:rsidRDefault="00E56B26"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자외선차단지수</w:t>
      </w:r>
      <w:r w:rsidRPr="002C7F14">
        <w:rPr>
          <w:rFonts w:asciiTheme="minorEastAsia" w:eastAsiaTheme="minorEastAsia" w:hAnsiTheme="minorEastAsia"/>
          <w:sz w:val="20"/>
          <w:lang w:eastAsia="ko-KR"/>
        </w:rPr>
        <w:t xml:space="preserve">(SPF) </w:t>
      </w:r>
      <w:r w:rsidRPr="002C7F14">
        <w:rPr>
          <w:rFonts w:asciiTheme="minorEastAsia" w:eastAsiaTheme="minorEastAsia" w:hAnsiTheme="minorEastAsia" w:hint="eastAsia"/>
          <w:sz w:val="20"/>
          <w:lang w:eastAsia="ko-KR"/>
        </w:rPr>
        <w:t>값</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M020.80</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w:t>
      </w:r>
      <w:r w:rsidR="00235BFC" w:rsidRPr="002C7F14">
        <w:rPr>
          <w:rFonts w:asciiTheme="minorEastAsia" w:eastAsiaTheme="minorEastAsia" w:hAnsiTheme="minorEastAsia"/>
          <w:noProof/>
          <w:lang w:eastAsia="ko-KR"/>
        </w:rPr>
        <w:drawing>
          <wp:inline distT="0" distB="0" distL="0" distR="0" wp14:anchorId="79D4DBF9" wp14:editId="6EB72F4F">
            <wp:extent cx="219075" cy="124143"/>
            <wp:effectExtent l="0" t="0" r="0" b="952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156" cy="124756"/>
                    </a:xfrm>
                    <a:prstGeom prst="rect">
                      <a:avLst/>
                    </a:prstGeom>
                  </pic:spPr>
                </pic:pic>
              </a:graphicData>
            </a:graphic>
          </wp:inline>
        </w:drawing>
      </w:r>
      <w:r w:rsidRPr="002C7F14">
        <w:rPr>
          <w:rFonts w:asciiTheme="minorEastAsia" w:eastAsiaTheme="minorEastAsia" w:hAnsiTheme="minorEastAsia"/>
          <w:sz w:val="20"/>
          <w:lang w:eastAsia="ko-KR"/>
        </w:rPr>
        <w:t xml:space="preserve"> </w:t>
      </w:r>
      <w:r w:rsidRPr="002C7F14">
        <w:rPr>
          <w:rFonts w:ascii="바탕" w:eastAsia="바탕" w:hAnsi="바탕" w:cs="바탕" w:hint="eastAsia"/>
          <w:sz w:val="20"/>
          <w:lang w:eastAsia="ko-KR"/>
        </w:rPr>
        <w:t>−</w:t>
      </w:r>
      <w:r w:rsidRPr="002C7F14">
        <w:rPr>
          <w:rFonts w:asciiTheme="minorEastAsia" w:eastAsiaTheme="minorEastAsia" w:hAnsiTheme="minorEastAsia"/>
          <w:sz w:val="20"/>
          <w:lang w:eastAsia="ko-KR"/>
        </w:rPr>
        <w:t xml:space="preserve"> (t </w:t>
      </w:r>
      <w:r w:rsidRPr="002C7F14">
        <w:rPr>
          <w:rFonts w:ascii="MS Gothic" w:eastAsia="MS Gothic" w:hAnsi="MS Gothic" w:cs="MS Gothic" w:hint="eastAsia"/>
          <w:sz w:val="20"/>
          <w:lang w:eastAsia="ko-KR"/>
        </w:rPr>
        <w:t>∗</w:t>
      </w:r>
      <w:r w:rsidRPr="002C7F14">
        <w:rPr>
          <w:rFonts w:asciiTheme="minorEastAsia" w:eastAsiaTheme="minorEastAsia" w:hAnsiTheme="minorEastAsia"/>
          <w:sz w:val="20"/>
          <w:lang w:eastAsia="ko-KR"/>
        </w:rPr>
        <w:t xml:space="preserve"> SE)</w:t>
      </w:r>
      <w:r w:rsidRPr="002C7F14">
        <w:rPr>
          <w:rFonts w:asciiTheme="minorEastAsia" w:eastAsiaTheme="minorEastAsia" w:hAnsiTheme="minorEastAsia" w:hint="eastAsia"/>
          <w:sz w:val="20"/>
          <w:lang w:eastAsia="ko-KR"/>
        </w:rPr>
        <w:t>보다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작은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정수와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같은</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w:t>
      </w:r>
      <w:r w:rsidRPr="002C7F14">
        <w:rPr>
          <w:rFonts w:asciiTheme="minorEastAsia" w:eastAsiaTheme="minorEastAsia" w:hAnsiTheme="minorEastAsia"/>
          <w:sz w:val="20"/>
          <w:lang w:eastAsia="ko-KR"/>
        </w:rPr>
        <w:t>.</w:t>
      </w:r>
    </w:p>
    <w:p w14:paraId="31C7BE3E" w14:textId="55B270FF" w:rsidR="00E56B26" w:rsidRPr="002C7F14" w:rsidRDefault="00E56B26"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라벨링된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자외선차단지수</w:t>
      </w:r>
      <w:r w:rsidRPr="002C7F14">
        <w:rPr>
          <w:rFonts w:asciiTheme="minorEastAsia" w:eastAsiaTheme="minorEastAsia" w:hAnsiTheme="minorEastAsia"/>
          <w:sz w:val="20"/>
          <w:lang w:eastAsia="ko-KR"/>
        </w:rPr>
        <w:t xml:space="preserve">(SPF) </w:t>
      </w:r>
      <w:r w:rsidRPr="002C7F14">
        <w:rPr>
          <w:rFonts w:asciiTheme="minorEastAsia" w:eastAsiaTheme="minorEastAsia" w:hAnsiTheme="minorEastAsia" w:hint="eastAsia"/>
          <w:sz w:val="20"/>
          <w:lang w:eastAsia="ko-KR"/>
        </w:rPr>
        <w:t>값</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M020.50(a)(2)(i)</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명시된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속하는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범위와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관련된</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w:t>
      </w:r>
      <w:r w:rsidRPr="002C7F14">
        <w:rPr>
          <w:rFonts w:asciiTheme="minorEastAsia" w:eastAsiaTheme="minorEastAsia" w:hAnsiTheme="minorEastAsia"/>
          <w:sz w:val="20"/>
          <w:lang w:eastAsia="ko-KR"/>
        </w:rPr>
        <w:t>.</w:t>
      </w:r>
    </w:p>
    <w:p w14:paraId="68015E02" w14:textId="06C11942" w:rsidR="00CF24D5" w:rsidRPr="002C7F14" w:rsidRDefault="00E56B26"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극인화성</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극인화성</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연방관보</w:t>
      </w:r>
      <w:r w:rsidRPr="002C7F14">
        <w:rPr>
          <w:rFonts w:asciiTheme="minorEastAsia" w:eastAsiaTheme="minorEastAsia" w:hAnsiTheme="minorEastAsia"/>
          <w:sz w:val="20"/>
          <w:lang w:eastAsia="ko-KR"/>
        </w:rPr>
        <w:t xml:space="preserve"> 51</w:t>
      </w:r>
      <w:r w:rsidRPr="002C7F14">
        <w:rPr>
          <w:rFonts w:asciiTheme="minorEastAsia" w:eastAsiaTheme="minorEastAsia" w:hAnsiTheme="minorEastAsia" w:hint="eastAsia"/>
          <w:sz w:val="20"/>
          <w:lang w:eastAsia="ko-KR"/>
        </w:rPr>
        <w:t>권</w:t>
      </w:r>
      <w:r w:rsidRPr="002C7F14">
        <w:rPr>
          <w:rFonts w:asciiTheme="minorEastAsia" w:eastAsiaTheme="minorEastAsia" w:hAnsiTheme="minorEastAsia"/>
          <w:sz w:val="20"/>
          <w:lang w:eastAsia="ko-KR"/>
        </w:rPr>
        <w:t xml:space="preserve"> 28539 </w:t>
      </w:r>
      <w:r w:rsidRPr="002C7F14">
        <w:rPr>
          <w:rFonts w:asciiTheme="minorEastAsia" w:eastAsiaTheme="minorEastAsia" w:hAnsiTheme="minorEastAsia" w:hint="eastAsia"/>
          <w:sz w:val="20"/>
          <w:lang w:eastAsia="ko-KR"/>
        </w:rPr>
        <w:t>페이지</w:t>
      </w:r>
      <w:r w:rsidRPr="002C7F14">
        <w:rPr>
          <w:rFonts w:asciiTheme="minorEastAsia" w:eastAsiaTheme="minorEastAsia" w:hAnsiTheme="minorEastAsia"/>
          <w:sz w:val="20"/>
          <w:lang w:eastAsia="ko-KR"/>
        </w:rPr>
        <w:t>(1986</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8</w:t>
      </w:r>
      <w:r w:rsidRPr="002C7F14">
        <w:rPr>
          <w:rFonts w:asciiTheme="minorEastAsia" w:eastAsiaTheme="minorEastAsia" w:hAnsiTheme="minorEastAsia" w:hint="eastAsia"/>
          <w:sz w:val="20"/>
          <w:lang w:eastAsia="ko-KR"/>
        </w:rPr>
        <w:t>월</w:t>
      </w:r>
      <w:r w:rsidRPr="002C7F14">
        <w:rPr>
          <w:rFonts w:asciiTheme="minorEastAsia" w:eastAsiaTheme="minorEastAsia" w:hAnsiTheme="minorEastAsia"/>
          <w:sz w:val="20"/>
          <w:lang w:eastAsia="ko-KR"/>
        </w:rPr>
        <w:t xml:space="preserve"> 8</w:t>
      </w:r>
      <w:r w:rsidRPr="002C7F14">
        <w:rPr>
          <w:rFonts w:asciiTheme="minorEastAsia" w:eastAsiaTheme="minorEastAsia" w:hAnsiTheme="minorEastAsia" w:hint="eastAsia"/>
          <w:sz w:val="20"/>
          <w:lang w:eastAsia="ko-KR"/>
        </w:rPr>
        <w:t>일</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고시된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16</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1500.43a</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인화점이</w:t>
      </w:r>
      <w:r w:rsidRPr="002C7F14">
        <w:rPr>
          <w:rFonts w:asciiTheme="minorEastAsia" w:eastAsiaTheme="minorEastAsia" w:hAnsiTheme="minorEastAsia"/>
          <w:sz w:val="20"/>
          <w:lang w:eastAsia="ko-KR"/>
        </w:rPr>
        <w:t xml:space="preserve"> 20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(-6.7</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이하인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인화점이</w:t>
      </w:r>
      <w:r w:rsidRPr="002C7F14">
        <w:rPr>
          <w:rFonts w:asciiTheme="minorEastAsia" w:eastAsiaTheme="minorEastAsia" w:hAnsiTheme="minorEastAsia"/>
          <w:sz w:val="20"/>
          <w:lang w:eastAsia="ko-KR"/>
        </w:rPr>
        <w:t xml:space="preserve"> 20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(-6.7</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초과하는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이상의 구성요소가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부피의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99%</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차지하는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극인화성으로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간주되지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w:t>
      </w:r>
      <w:r w:rsidR="00CF24D5" w:rsidRPr="002C7F14">
        <w:rPr>
          <w:rFonts w:asciiTheme="minorEastAsia" w:eastAsiaTheme="minorEastAsia" w:hAnsiTheme="minorEastAsia" w:hint="eastAsia"/>
          <w:sz w:val="20"/>
          <w:lang w:eastAsia="ko-KR"/>
        </w:rPr>
        <w:t xml:space="preserve"> 구성요소가</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있고</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제품</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전체</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부피의</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최소</w:t>
      </w:r>
      <w:r w:rsidR="00CF24D5" w:rsidRPr="002C7F14">
        <w:rPr>
          <w:rFonts w:asciiTheme="minorEastAsia" w:eastAsiaTheme="minorEastAsia" w:hAnsiTheme="minorEastAsia"/>
          <w:sz w:val="20"/>
          <w:lang w:eastAsia="ko-KR"/>
        </w:rPr>
        <w:t xml:space="preserve"> 99%</w:t>
      </w:r>
      <w:r w:rsidR="00CF24D5" w:rsidRPr="002C7F14">
        <w:rPr>
          <w:rFonts w:asciiTheme="minorEastAsia" w:eastAsiaTheme="minorEastAsia" w:hAnsiTheme="minorEastAsia" w:hint="eastAsia"/>
          <w:sz w:val="20"/>
          <w:lang w:eastAsia="ko-KR"/>
        </w:rPr>
        <w:t>를</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차지하는</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제품은</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극인화성으로</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간주되지</w:t>
      </w:r>
      <w:r w:rsidR="00CF24D5"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hint="eastAsia"/>
          <w:sz w:val="20"/>
          <w:lang w:eastAsia="ko-KR"/>
        </w:rPr>
        <w:t>않는다</w:t>
      </w:r>
      <w:r w:rsidR="00CF24D5" w:rsidRPr="002C7F14">
        <w:rPr>
          <w:rFonts w:asciiTheme="minorEastAsia" w:eastAsiaTheme="minorEastAsia" w:hAnsiTheme="minorEastAsia"/>
          <w:sz w:val="20"/>
          <w:lang w:eastAsia="ko-KR"/>
        </w:rPr>
        <w:t>.</w:t>
      </w:r>
    </w:p>
    <w:p w14:paraId="17805C14" w14:textId="77777777" w:rsidR="00CF24D5" w:rsidRPr="002C7F14" w:rsidRDefault="00CF24D5"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인화성</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인화성</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연방관보</w:t>
      </w:r>
      <w:r w:rsidRPr="002C7F14">
        <w:rPr>
          <w:rFonts w:asciiTheme="minorEastAsia" w:eastAsiaTheme="minorEastAsia" w:hAnsiTheme="minorEastAsia"/>
          <w:sz w:val="20"/>
          <w:lang w:eastAsia="ko-KR"/>
        </w:rPr>
        <w:t xml:space="preserve"> 51</w:t>
      </w:r>
      <w:r w:rsidRPr="002C7F14">
        <w:rPr>
          <w:rFonts w:asciiTheme="minorEastAsia" w:eastAsiaTheme="minorEastAsia" w:hAnsiTheme="minorEastAsia" w:hint="eastAsia"/>
          <w:sz w:val="20"/>
          <w:lang w:eastAsia="ko-KR"/>
        </w:rPr>
        <w:t>권</w:t>
      </w:r>
      <w:r w:rsidRPr="002C7F14">
        <w:rPr>
          <w:rFonts w:asciiTheme="minorEastAsia" w:eastAsiaTheme="minorEastAsia" w:hAnsiTheme="minorEastAsia"/>
          <w:sz w:val="20"/>
          <w:lang w:eastAsia="ko-KR"/>
        </w:rPr>
        <w:t xml:space="preserve"> 28539 </w:t>
      </w:r>
      <w:r w:rsidRPr="002C7F14">
        <w:rPr>
          <w:rFonts w:asciiTheme="minorEastAsia" w:eastAsiaTheme="minorEastAsia" w:hAnsiTheme="minorEastAsia" w:hint="eastAsia"/>
          <w:sz w:val="20"/>
          <w:lang w:eastAsia="ko-KR"/>
        </w:rPr>
        <w:t>페이지</w:t>
      </w:r>
      <w:r w:rsidRPr="002C7F14">
        <w:rPr>
          <w:rFonts w:asciiTheme="minorEastAsia" w:eastAsiaTheme="minorEastAsia" w:hAnsiTheme="minorEastAsia"/>
          <w:sz w:val="20"/>
          <w:lang w:eastAsia="ko-KR"/>
        </w:rPr>
        <w:t>(1986</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8</w:t>
      </w:r>
      <w:r w:rsidRPr="002C7F14">
        <w:rPr>
          <w:rFonts w:asciiTheme="minorEastAsia" w:eastAsiaTheme="minorEastAsia" w:hAnsiTheme="minorEastAsia" w:hint="eastAsia"/>
          <w:sz w:val="20"/>
          <w:lang w:eastAsia="ko-KR"/>
        </w:rPr>
        <w:t>월</w:t>
      </w:r>
      <w:r w:rsidRPr="002C7F14">
        <w:rPr>
          <w:rFonts w:asciiTheme="minorEastAsia" w:eastAsiaTheme="minorEastAsia" w:hAnsiTheme="minorEastAsia"/>
          <w:sz w:val="20"/>
          <w:lang w:eastAsia="ko-KR"/>
        </w:rPr>
        <w:t xml:space="preserve"> 8</w:t>
      </w:r>
      <w:r w:rsidRPr="002C7F14">
        <w:rPr>
          <w:rFonts w:asciiTheme="minorEastAsia" w:eastAsiaTheme="minorEastAsia" w:hAnsiTheme="minorEastAsia" w:hint="eastAsia"/>
          <w:sz w:val="20"/>
          <w:lang w:eastAsia="ko-KR"/>
        </w:rPr>
        <w:t>일</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고시된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16</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1500.43a</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인화점이</w:t>
      </w:r>
      <w:r w:rsidRPr="002C7F14">
        <w:rPr>
          <w:rFonts w:asciiTheme="minorEastAsia" w:eastAsiaTheme="minorEastAsia" w:hAnsiTheme="minorEastAsia"/>
          <w:sz w:val="20"/>
          <w:lang w:eastAsia="ko-KR"/>
        </w:rPr>
        <w:t xml:space="preserve"> 20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F(-6.7</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C) </w:t>
      </w:r>
      <w:r w:rsidRPr="002C7F14">
        <w:rPr>
          <w:rFonts w:asciiTheme="minorEastAsia" w:eastAsiaTheme="minorEastAsia" w:hAnsiTheme="minorEastAsia" w:hint="eastAsia"/>
          <w:sz w:val="20"/>
          <w:lang w:eastAsia="ko-KR"/>
        </w:rPr>
        <w:t>초과</w:t>
      </w:r>
      <w:r w:rsidRPr="002C7F14">
        <w:rPr>
          <w:rFonts w:asciiTheme="minorEastAsia" w:eastAsiaTheme="minorEastAsia" w:hAnsiTheme="minorEastAsia"/>
          <w:sz w:val="20"/>
          <w:lang w:eastAsia="ko-KR"/>
        </w:rPr>
        <w:t xml:space="preserve"> 100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F(37.8</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C) </w:t>
      </w:r>
      <w:r w:rsidRPr="002C7F14">
        <w:rPr>
          <w:rFonts w:asciiTheme="minorEastAsia" w:eastAsiaTheme="minorEastAsia" w:hAnsiTheme="minorEastAsia" w:hint="eastAsia"/>
          <w:sz w:val="20"/>
          <w:lang w:eastAsia="ko-KR"/>
        </w:rPr>
        <w:t>미만인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제외한다</w:t>
      </w:r>
      <w:r w:rsidRPr="002C7F14">
        <w:rPr>
          <w:rFonts w:asciiTheme="minorEastAsia" w:eastAsiaTheme="minorEastAsia" w:hAnsiTheme="minorEastAsia"/>
          <w:sz w:val="20"/>
          <w:lang w:eastAsia="ko-KR"/>
        </w:rPr>
        <w:t>.</w:t>
      </w:r>
    </w:p>
    <w:p w14:paraId="19B7DC68" w14:textId="67175460" w:rsidR="00CF24D5" w:rsidRPr="002C7F14" w:rsidRDefault="00CF24D5" w:rsidP="00C8240F">
      <w:pPr>
        <w:pStyle w:val="a9"/>
        <w:numPr>
          <w:ilvl w:val="0"/>
          <w:numId w:val="35"/>
        </w:numPr>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인화점이</w:t>
      </w:r>
      <w:r w:rsidRPr="002C7F14">
        <w:rPr>
          <w:rFonts w:asciiTheme="minorEastAsia" w:eastAsiaTheme="minorEastAsia" w:hAnsiTheme="minorEastAsia"/>
          <w:sz w:val="20"/>
          <w:lang w:eastAsia="ko-KR"/>
        </w:rPr>
        <w:t xml:space="preserve"> 100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F(37.8</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C) </w:t>
      </w:r>
      <w:r w:rsidRPr="002C7F14">
        <w:rPr>
          <w:rFonts w:asciiTheme="minorEastAsia" w:eastAsiaTheme="minorEastAsia" w:hAnsiTheme="minorEastAsia" w:hint="eastAsia"/>
          <w:sz w:val="20"/>
          <w:lang w:eastAsia="ko-KR"/>
        </w:rPr>
        <w:t>이상인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이상의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구성요소가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부피의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99%</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차지하는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인화성으로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간주되지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w:t>
      </w:r>
    </w:p>
    <w:p w14:paraId="3D9B6CE0" w14:textId="782531FD" w:rsidR="00CF24D5" w:rsidRPr="002C7F14" w:rsidRDefault="00CF24D5" w:rsidP="00C8240F">
      <w:pPr>
        <w:pStyle w:val="a9"/>
        <w:numPr>
          <w:ilvl w:val="0"/>
          <w:numId w:val="35"/>
        </w:numPr>
        <w:spacing w:afterLines="50" w:after="120"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수용액에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기준으로</w:t>
      </w:r>
      <w:r w:rsidRPr="002C7F14">
        <w:rPr>
          <w:rFonts w:asciiTheme="minorEastAsia" w:eastAsiaTheme="minorEastAsia" w:hAnsiTheme="minorEastAsia"/>
          <w:sz w:val="20"/>
          <w:lang w:eastAsia="ko-KR"/>
        </w:rPr>
        <w:t xml:space="preserve"> 24% </w:t>
      </w:r>
      <w:r w:rsidRPr="002C7F14">
        <w:rPr>
          <w:rFonts w:asciiTheme="minorEastAsia" w:eastAsiaTheme="minorEastAsia" w:hAnsiTheme="minorEastAsia" w:hint="eastAsia"/>
          <w:sz w:val="20"/>
          <w:lang w:eastAsia="ko-KR"/>
        </w:rPr>
        <w:t>이하의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수혼화성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알코올이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위험이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크지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인화성으로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간주되지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 xml:space="preserve">. </w:t>
      </w:r>
    </w:p>
    <w:p w14:paraId="12440763" w14:textId="65E740D3" w:rsidR="00CF24D5" w:rsidRPr="002C7F14" w:rsidRDefault="00CF24D5"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가연성</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가연성</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이라는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용어는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연방관보</w:t>
      </w:r>
      <w:r w:rsidRPr="002C7F14">
        <w:rPr>
          <w:rFonts w:asciiTheme="minorEastAsia" w:eastAsiaTheme="minorEastAsia" w:hAnsiTheme="minorEastAsia"/>
          <w:sz w:val="20"/>
          <w:lang w:eastAsia="ko-KR"/>
        </w:rPr>
        <w:t xml:space="preserve"> 51</w:t>
      </w:r>
      <w:r w:rsidRPr="002C7F14">
        <w:rPr>
          <w:rFonts w:asciiTheme="minorEastAsia" w:eastAsiaTheme="minorEastAsia" w:hAnsiTheme="minorEastAsia" w:hint="eastAsia"/>
          <w:sz w:val="20"/>
          <w:lang w:eastAsia="ko-KR"/>
        </w:rPr>
        <w:t>권</w:t>
      </w:r>
      <w:r w:rsidRPr="002C7F14">
        <w:rPr>
          <w:rFonts w:asciiTheme="minorEastAsia" w:eastAsiaTheme="minorEastAsia" w:hAnsiTheme="minorEastAsia"/>
          <w:sz w:val="20"/>
          <w:lang w:eastAsia="ko-KR"/>
        </w:rPr>
        <w:t xml:space="preserve"> 28539 </w:t>
      </w:r>
      <w:r w:rsidRPr="002C7F14">
        <w:rPr>
          <w:rFonts w:asciiTheme="minorEastAsia" w:eastAsiaTheme="minorEastAsia" w:hAnsiTheme="minorEastAsia" w:hint="eastAsia"/>
          <w:sz w:val="20"/>
          <w:lang w:eastAsia="ko-KR"/>
        </w:rPr>
        <w:t>페이지</w:t>
      </w:r>
      <w:r w:rsidRPr="002C7F14">
        <w:rPr>
          <w:rFonts w:asciiTheme="minorEastAsia" w:eastAsiaTheme="minorEastAsia" w:hAnsiTheme="minorEastAsia"/>
          <w:sz w:val="20"/>
          <w:lang w:eastAsia="ko-KR"/>
        </w:rPr>
        <w:t>(1986</w:t>
      </w:r>
      <w:r w:rsidRPr="002C7F14">
        <w:rPr>
          <w:rFonts w:asciiTheme="minorEastAsia" w:eastAsiaTheme="minorEastAsia" w:hAnsiTheme="minorEastAsia" w:hint="eastAsia"/>
          <w:sz w:val="20"/>
          <w:lang w:eastAsia="ko-KR"/>
        </w:rPr>
        <w:t>년</w:t>
      </w:r>
      <w:r w:rsidRPr="002C7F14">
        <w:rPr>
          <w:rFonts w:asciiTheme="minorEastAsia" w:eastAsiaTheme="minorEastAsia" w:hAnsiTheme="minorEastAsia"/>
          <w:sz w:val="20"/>
          <w:lang w:eastAsia="ko-KR"/>
        </w:rPr>
        <w:t xml:space="preserve"> 8</w:t>
      </w:r>
      <w:r w:rsidRPr="002C7F14">
        <w:rPr>
          <w:rFonts w:asciiTheme="minorEastAsia" w:eastAsiaTheme="minorEastAsia" w:hAnsiTheme="minorEastAsia" w:hint="eastAsia"/>
          <w:sz w:val="20"/>
          <w:lang w:eastAsia="ko-KR"/>
        </w:rPr>
        <w:t>월</w:t>
      </w:r>
      <w:r w:rsidRPr="002C7F14">
        <w:rPr>
          <w:rFonts w:asciiTheme="minorEastAsia" w:eastAsiaTheme="minorEastAsia" w:hAnsiTheme="minorEastAsia"/>
          <w:sz w:val="20"/>
          <w:lang w:eastAsia="ko-KR"/>
        </w:rPr>
        <w:t xml:space="preserve"> 8</w:t>
      </w:r>
      <w:r w:rsidRPr="002C7F14">
        <w:rPr>
          <w:rFonts w:asciiTheme="minorEastAsia" w:eastAsiaTheme="minorEastAsia" w:hAnsiTheme="minorEastAsia" w:hint="eastAsia"/>
          <w:sz w:val="20"/>
          <w:lang w:eastAsia="ko-KR"/>
        </w:rPr>
        <w:t>일</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고시된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연방규정</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16</w:t>
      </w:r>
      <w:r w:rsidRPr="002C7F14">
        <w:rPr>
          <w:rFonts w:asciiTheme="minorEastAsia" w:eastAsiaTheme="minorEastAsia" w:hAnsiTheme="minorEastAsia" w:hint="eastAsia"/>
          <w:sz w:val="20"/>
          <w:lang w:eastAsia="ko-KR"/>
        </w:rPr>
        <w:t>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w:t>
      </w:r>
      <w:r w:rsidRPr="002C7F14">
        <w:rPr>
          <w:rFonts w:asciiTheme="minorEastAsia" w:eastAsiaTheme="minorEastAsia" w:hAnsiTheme="minorEastAsia"/>
          <w:sz w:val="20"/>
          <w:lang w:eastAsia="ko-KR"/>
        </w:rPr>
        <w:t>1500.43a</w:t>
      </w:r>
      <w:r w:rsidRPr="002C7F14">
        <w:rPr>
          <w:rFonts w:asciiTheme="minorEastAsia" w:eastAsiaTheme="minorEastAsia" w:hAnsiTheme="minorEastAsia" w:hint="eastAsia"/>
          <w:sz w:val="20"/>
          <w:lang w:eastAsia="ko-KR"/>
        </w:rPr>
        <w:t>조에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설명된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방법에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인화점이</w:t>
      </w:r>
      <w:r w:rsidRPr="002C7F14">
        <w:rPr>
          <w:rFonts w:asciiTheme="minorEastAsia" w:eastAsiaTheme="minorEastAsia" w:hAnsiTheme="minorEastAsia"/>
          <w:sz w:val="20"/>
          <w:lang w:eastAsia="ko-KR"/>
        </w:rPr>
        <w:t xml:space="preserve"> 100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F(37.8</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C) </w:t>
      </w:r>
      <w:r w:rsidRPr="002C7F14">
        <w:rPr>
          <w:rFonts w:asciiTheme="minorEastAsia" w:eastAsiaTheme="minorEastAsia" w:hAnsiTheme="minorEastAsia" w:hint="eastAsia"/>
          <w:sz w:val="20"/>
          <w:lang w:eastAsia="ko-KR"/>
        </w:rPr>
        <w:t>이상인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모든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적용한다</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단</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제외한다</w:t>
      </w:r>
      <w:r w:rsidRPr="002C7F14">
        <w:rPr>
          <w:rFonts w:asciiTheme="minorEastAsia" w:eastAsiaTheme="minorEastAsia" w:hAnsiTheme="minorEastAsia"/>
          <w:sz w:val="20"/>
          <w:lang w:eastAsia="ko-KR"/>
        </w:rPr>
        <w:t>.</w:t>
      </w:r>
    </w:p>
    <w:p w14:paraId="53EF25E3" w14:textId="2FD22F48" w:rsidR="00CF24D5" w:rsidRPr="002C7F14" w:rsidRDefault="00CF24D5" w:rsidP="00C8240F">
      <w:pPr>
        <w:pStyle w:val="a9"/>
        <w:numPr>
          <w:ilvl w:val="0"/>
          <w:numId w:val="36"/>
        </w:numPr>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인화점이</w:t>
      </w:r>
      <w:r w:rsidRPr="002C7F14">
        <w:rPr>
          <w:rFonts w:asciiTheme="minorEastAsia" w:eastAsiaTheme="minorEastAsia" w:hAnsiTheme="minorEastAsia"/>
          <w:sz w:val="20"/>
          <w:lang w:eastAsia="ko-KR"/>
        </w:rPr>
        <w:t xml:space="preserve"> 150</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F(65.6</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C)</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초과하는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이상의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구성요소가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전체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부피의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99%</w:t>
      </w:r>
      <w:r w:rsidRPr="002C7F14">
        <w:rPr>
          <w:rFonts w:asciiTheme="minorEastAsia" w:eastAsiaTheme="minorEastAsia" w:hAnsiTheme="minorEastAsia" w:hint="eastAsia"/>
          <w:sz w:val="20"/>
          <w:lang w:eastAsia="ko-KR"/>
        </w:rPr>
        <w:t>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차지하는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가연성으로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간주되지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w:t>
      </w:r>
    </w:p>
    <w:p w14:paraId="7FE617FB" w14:textId="66B6C9CA" w:rsidR="00CF24D5" w:rsidRPr="002C7F14" w:rsidRDefault="00CF24D5" w:rsidP="00C8240F">
      <w:pPr>
        <w:pStyle w:val="a9"/>
        <w:numPr>
          <w:ilvl w:val="0"/>
          <w:numId w:val="36"/>
        </w:numPr>
        <w:spacing w:afterLines="50" w:after="120"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수용액에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부피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기준으로</w:t>
      </w:r>
      <w:r w:rsidRPr="002C7F14">
        <w:rPr>
          <w:rFonts w:asciiTheme="minorEastAsia" w:eastAsiaTheme="minorEastAsia" w:hAnsiTheme="minorEastAsia"/>
          <w:sz w:val="20"/>
          <w:lang w:eastAsia="ko-KR"/>
        </w:rPr>
        <w:t xml:space="preserve"> 24% </w:t>
      </w:r>
      <w:r w:rsidRPr="002C7F14">
        <w:rPr>
          <w:rFonts w:asciiTheme="minorEastAsia" w:eastAsiaTheme="minorEastAsia" w:hAnsiTheme="minorEastAsia" w:hint="eastAsia"/>
          <w:sz w:val="20"/>
          <w:lang w:eastAsia="ko-KR"/>
        </w:rPr>
        <w:t>이하의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수혼화성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알코올이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함유된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소비자가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사용할</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인화성</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위험이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크지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인화성으로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간주되지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않는다</w:t>
      </w:r>
      <w:r w:rsidRPr="002C7F14">
        <w:rPr>
          <w:rFonts w:asciiTheme="minorEastAsia" w:eastAsiaTheme="minorEastAsia" w:hAnsiTheme="minorEastAsia"/>
          <w:sz w:val="20"/>
          <w:lang w:eastAsia="ko-KR"/>
        </w:rPr>
        <w:t>.</w:t>
      </w:r>
    </w:p>
    <w:p w14:paraId="3932E3A2" w14:textId="77777777" w:rsidR="00CF24D5" w:rsidRPr="002C7F14" w:rsidRDefault="00CF24D5" w:rsidP="00C8240F">
      <w:pPr>
        <w:pStyle w:val="a9"/>
        <w:numPr>
          <w:ilvl w:val="0"/>
          <w:numId w:val="34"/>
        </w:numPr>
        <w:tabs>
          <w:tab w:val="left" w:pos="567"/>
        </w:tabs>
        <w:spacing w:afterLines="50" w:after="120" w:line="264" w:lineRule="auto"/>
        <w:ind w:left="0" w:firstLine="26"/>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책임자</w:t>
      </w:r>
      <w:r w:rsidRPr="002C7F14">
        <w:rPr>
          <w:rFonts w:asciiTheme="minorEastAsia" w:eastAsiaTheme="minorEastAsia" w:hAnsiTheme="minorEastAsia"/>
          <w:sz w:val="20"/>
          <w:lang w:eastAsia="ko-KR"/>
        </w:rPr>
        <w:t>. "</w:t>
      </w:r>
      <w:r w:rsidRPr="002C7F14">
        <w:rPr>
          <w:rFonts w:asciiTheme="minorEastAsia" w:eastAsiaTheme="minorEastAsia" w:hAnsiTheme="minorEastAsia" w:hint="eastAsia"/>
          <w:sz w:val="20"/>
          <w:lang w:eastAsia="ko-KR"/>
        </w:rPr>
        <w:t>책임자</w:t>
      </w:r>
      <w:r w:rsidRPr="002C7F14">
        <w:rPr>
          <w:rFonts w:asciiTheme="minorEastAsia" w:eastAsiaTheme="minorEastAsia" w:hAnsiTheme="minorEastAsia"/>
          <w:sz w:val="20"/>
          <w:lang w:eastAsia="ko-KR"/>
        </w:rPr>
        <w:t>"</w:t>
      </w:r>
      <w:r w:rsidRPr="002C7F14">
        <w:rPr>
          <w:rFonts w:asciiTheme="minorEastAsia" w:eastAsiaTheme="minorEastAsia" w:hAnsiTheme="minorEastAsia" w:hint="eastAsia"/>
          <w:sz w:val="20"/>
          <w:lang w:eastAsia="ko-KR"/>
        </w:rPr>
        <w:t>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w:t>
      </w:r>
      <w:r w:rsidRPr="002C7F14">
        <w:rPr>
          <w:rFonts w:asciiTheme="minorEastAsia" w:eastAsiaTheme="minorEastAsia" w:hAnsiTheme="minorEastAsia"/>
          <w:sz w:val="20"/>
          <w:lang w:eastAsia="ko-KR"/>
        </w:rPr>
        <w:t xml:space="preserve"> OTC </w:t>
      </w:r>
      <w:r w:rsidRPr="002C7F14">
        <w:rPr>
          <w:rFonts w:asciiTheme="minorEastAsia" w:eastAsiaTheme="minorEastAsia" w:hAnsiTheme="minorEastAsia" w:hint="eastAsia"/>
          <w:sz w:val="20"/>
          <w:lang w:eastAsia="ko-KR"/>
        </w:rPr>
        <w:t>모노그래프가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다루는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제품</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라벨에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이름이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표시된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제조업자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포장업자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또는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유통업자이다</w:t>
      </w:r>
      <w:r w:rsidRPr="002C7F14">
        <w:rPr>
          <w:rFonts w:asciiTheme="minorEastAsia" w:eastAsiaTheme="minorEastAsia" w:hAnsiTheme="minorEastAsia"/>
          <w:sz w:val="20"/>
          <w:lang w:eastAsia="ko-KR"/>
        </w:rPr>
        <w:t xml:space="preserve">. </w:t>
      </w:r>
    </w:p>
    <w:p w14:paraId="7053839B"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p>
    <w:p w14:paraId="4EECD5A2" w14:textId="77777777" w:rsidR="00CF24D5" w:rsidRPr="002C7F14" w:rsidRDefault="00CF24D5" w:rsidP="00CF24D5">
      <w:pPr>
        <w:pStyle w:val="a9"/>
        <w:spacing w:line="264" w:lineRule="auto"/>
        <w:jc w:val="both"/>
        <w:rPr>
          <w:rFonts w:asciiTheme="minorEastAsia" w:eastAsiaTheme="minorEastAsia" w:hAnsiTheme="minorEastAsia"/>
          <w:b/>
          <w:sz w:val="20"/>
          <w:lang w:eastAsia="ko-KR"/>
        </w:rPr>
      </w:pPr>
      <w:r w:rsidRPr="002C7F14">
        <w:rPr>
          <w:rFonts w:asciiTheme="minorEastAsia" w:eastAsiaTheme="minorEastAsia" w:hAnsiTheme="minorEastAsia" w:hint="eastAsia"/>
          <w:b/>
          <w:sz w:val="20"/>
          <w:lang w:eastAsia="ko-KR"/>
        </w:rPr>
        <w:t>§</w:t>
      </w:r>
      <w:r w:rsidRPr="002C7F14">
        <w:rPr>
          <w:rFonts w:asciiTheme="minorEastAsia" w:eastAsiaTheme="minorEastAsia" w:hAnsiTheme="minorEastAsia"/>
          <w:b/>
          <w:sz w:val="20"/>
          <w:lang w:eastAsia="ko-KR"/>
        </w:rPr>
        <w:t xml:space="preserve"> M020.5 </w:t>
      </w:r>
      <w:r w:rsidRPr="002C7F14">
        <w:rPr>
          <w:rFonts w:asciiTheme="minorEastAsia" w:eastAsiaTheme="minorEastAsia" w:hAnsiTheme="minorEastAsia" w:hint="eastAsia"/>
          <w:b/>
          <w:sz w:val="20"/>
          <w:lang w:eastAsia="ko-KR"/>
        </w:rPr>
        <w:t>자외선차단지수</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관련</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조건</w:t>
      </w:r>
    </w:p>
    <w:p w14:paraId="6ECC794C"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p>
    <w:p w14:paraId="4966BA3E" w14:textId="5724F427" w:rsidR="00CF24D5" w:rsidRPr="002C7F14" w:rsidRDefault="00CF24D5" w:rsidP="00C8240F">
      <w:pPr>
        <w:pStyle w:val="a9"/>
        <w:numPr>
          <w:ilvl w:val="0"/>
          <w:numId w:val="37"/>
        </w:numPr>
        <w:tabs>
          <w:tab w:val="left" w:pos="426"/>
        </w:tabs>
        <w:spacing w:line="264" w:lineRule="auto"/>
        <w:ind w:left="0" w:firstLine="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2</w:t>
      </w:r>
      <w:r w:rsidRPr="002C7F14">
        <w:rPr>
          <w:rFonts w:asciiTheme="minorEastAsia" w:eastAsiaTheme="minorEastAsia" w:hAnsiTheme="minorEastAsia" w:hint="eastAsia"/>
          <w:sz w:val="20"/>
          <w:lang w:eastAsia="ko-KR"/>
        </w:rPr>
        <w:t>이상</w:t>
      </w:r>
      <w:r w:rsidRPr="002C7F14">
        <w:rPr>
          <w:rFonts w:asciiTheme="minorEastAsia" w:eastAsiaTheme="minorEastAsia" w:hAnsiTheme="minorEastAsia"/>
          <w:sz w:val="20"/>
          <w:lang w:eastAsia="ko-KR"/>
        </w:rPr>
        <w:t xml:space="preserve"> 80</w:t>
      </w:r>
      <w:r w:rsidRPr="002C7F14">
        <w:rPr>
          <w:rFonts w:asciiTheme="minorEastAsia" w:eastAsiaTheme="minorEastAsia" w:hAnsiTheme="minorEastAsia" w:hint="eastAsia"/>
          <w:sz w:val="20"/>
          <w:lang w:eastAsia="ko-KR"/>
        </w:rPr>
        <w:t>이하이다</w:t>
      </w:r>
      <w:r w:rsidRPr="002C7F14">
        <w:rPr>
          <w:rFonts w:asciiTheme="minorEastAsia" w:eastAsiaTheme="minorEastAsia" w:hAnsiTheme="minorEastAsia"/>
          <w:sz w:val="20"/>
          <w:lang w:eastAsia="ko-KR"/>
        </w:rPr>
        <w:t xml:space="preserve">. </w:t>
      </w:r>
    </w:p>
    <w:p w14:paraId="0503B518" w14:textId="77777777" w:rsidR="00CF24D5" w:rsidRPr="002C7F14" w:rsidRDefault="00CF24D5" w:rsidP="00C8240F">
      <w:pPr>
        <w:pStyle w:val="a9"/>
        <w:numPr>
          <w:ilvl w:val="0"/>
          <w:numId w:val="37"/>
        </w:numPr>
        <w:tabs>
          <w:tab w:val="left" w:pos="426"/>
        </w:tabs>
        <w:spacing w:line="264" w:lineRule="auto"/>
        <w:ind w:left="0" w:firstLine="0"/>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결정된</w:t>
      </w:r>
      <w:r w:rsidRPr="002C7F14">
        <w:rPr>
          <w:rFonts w:asciiTheme="minorEastAsia" w:eastAsiaTheme="minorEastAsia" w:hAnsiTheme="minorEastAsia"/>
          <w:sz w:val="20"/>
          <w:lang w:eastAsia="ko-KR"/>
        </w:rPr>
        <w:t xml:space="preserve"> SPF </w:t>
      </w:r>
      <w:r w:rsidRPr="002C7F14">
        <w:rPr>
          <w:rFonts w:asciiTheme="minorEastAsia" w:eastAsiaTheme="minorEastAsia" w:hAnsiTheme="minorEastAsia" w:hint="eastAsia"/>
          <w:sz w:val="20"/>
          <w:lang w:eastAsia="ko-KR"/>
        </w:rPr>
        <w:t>값이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최소</w:t>
      </w:r>
      <w:r w:rsidRPr="002C7F14">
        <w:rPr>
          <w:rFonts w:asciiTheme="minorEastAsia" w:eastAsiaTheme="minorEastAsia" w:hAnsiTheme="minorEastAsia"/>
          <w:sz w:val="20"/>
          <w:lang w:eastAsia="ko-KR"/>
        </w:rPr>
        <w:t xml:space="preserve"> 15</w:t>
      </w:r>
      <w:r w:rsidRPr="002C7F14">
        <w:rPr>
          <w:rFonts w:asciiTheme="minorEastAsia" w:eastAsiaTheme="minorEastAsia" w:hAnsiTheme="minorEastAsia" w:hint="eastAsia"/>
          <w:sz w:val="20"/>
          <w:lang w:eastAsia="ko-KR"/>
        </w:rPr>
        <w:t>인</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경우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w:t>
      </w:r>
      <w:r w:rsidRPr="002C7F14">
        <w:rPr>
          <w:rFonts w:asciiTheme="minorEastAsia" w:eastAsiaTheme="minorEastAsia" w:hAnsiTheme="minorEastAsia"/>
          <w:sz w:val="20"/>
          <w:lang w:eastAsia="ko-KR"/>
        </w:rPr>
        <w:t xml:space="preserve"> M020.90</w:t>
      </w:r>
      <w:r w:rsidRPr="002C7F14">
        <w:rPr>
          <w:rFonts w:asciiTheme="minorEastAsia" w:eastAsiaTheme="minorEastAsia" w:hAnsiTheme="minorEastAsia" w:hint="eastAsia"/>
          <w:sz w:val="20"/>
          <w:lang w:eastAsia="ko-KR"/>
        </w:rPr>
        <w:t>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광범위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스펙트럼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시험도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통과한다</w:t>
      </w:r>
      <w:r w:rsidRPr="002C7F14">
        <w:rPr>
          <w:rFonts w:asciiTheme="minorEastAsia" w:eastAsiaTheme="minorEastAsia" w:hAnsiTheme="minorEastAsia"/>
          <w:sz w:val="20"/>
          <w:lang w:eastAsia="ko-KR"/>
        </w:rPr>
        <w:t>.</w:t>
      </w:r>
    </w:p>
    <w:p w14:paraId="7A4701A7"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p>
    <w:p w14:paraId="11175CC1" w14:textId="77777777" w:rsidR="00CF24D5" w:rsidRPr="002C7F14" w:rsidRDefault="00CF24D5" w:rsidP="00CF24D5">
      <w:pPr>
        <w:pStyle w:val="a9"/>
        <w:spacing w:line="264" w:lineRule="auto"/>
        <w:jc w:val="both"/>
        <w:rPr>
          <w:rFonts w:asciiTheme="minorEastAsia" w:eastAsiaTheme="minorEastAsia" w:hAnsiTheme="minorEastAsia"/>
          <w:b/>
          <w:sz w:val="20"/>
          <w:lang w:eastAsia="ko-KR"/>
        </w:rPr>
      </w:pPr>
      <w:bookmarkStart w:id="16" w:name="Part_B—Active_Ingredients"/>
      <w:bookmarkEnd w:id="16"/>
      <w:r w:rsidRPr="002C7F14">
        <w:rPr>
          <w:rFonts w:asciiTheme="minorEastAsia" w:eastAsiaTheme="minorEastAsia" w:hAnsiTheme="minorEastAsia" w:hint="eastAsia"/>
          <w:b/>
          <w:sz w:val="20"/>
          <w:lang w:eastAsia="ko-KR"/>
        </w:rPr>
        <w:t>제</w:t>
      </w:r>
      <w:r w:rsidRPr="002C7F14">
        <w:rPr>
          <w:rFonts w:asciiTheme="minorEastAsia" w:eastAsiaTheme="minorEastAsia" w:hAnsiTheme="minorEastAsia"/>
          <w:b/>
          <w:sz w:val="20"/>
          <w:lang w:eastAsia="ko-KR"/>
        </w:rPr>
        <w:t>B</w:t>
      </w:r>
      <w:r w:rsidRPr="002C7F14">
        <w:rPr>
          <w:rFonts w:asciiTheme="minorEastAsia" w:eastAsiaTheme="minorEastAsia" w:hAnsiTheme="minorEastAsia" w:hint="eastAsia"/>
          <w:b/>
          <w:sz w:val="20"/>
          <w:lang w:eastAsia="ko-KR"/>
        </w:rPr>
        <w:t>부—활성성분</w:t>
      </w:r>
    </w:p>
    <w:p w14:paraId="484E1FF8" w14:textId="77777777" w:rsidR="00CF24D5" w:rsidRPr="002C7F14" w:rsidRDefault="00CF24D5" w:rsidP="00CF24D5">
      <w:pPr>
        <w:pStyle w:val="a9"/>
        <w:spacing w:line="264" w:lineRule="auto"/>
        <w:jc w:val="both"/>
        <w:rPr>
          <w:rFonts w:asciiTheme="minorEastAsia" w:eastAsiaTheme="minorEastAsia" w:hAnsiTheme="minorEastAsia"/>
          <w:b/>
          <w:sz w:val="20"/>
          <w:lang w:eastAsia="ko-KR"/>
        </w:rPr>
      </w:pPr>
    </w:p>
    <w:p w14:paraId="782D4E59"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bookmarkStart w:id="17" w:name="§_M020.10_Sunscreen_active_ingredients"/>
      <w:bookmarkEnd w:id="17"/>
      <w:r w:rsidRPr="002C7F14">
        <w:rPr>
          <w:rFonts w:asciiTheme="minorEastAsia" w:eastAsiaTheme="minorEastAsia" w:hAnsiTheme="minorEastAsia" w:hint="eastAsia"/>
          <w:b/>
          <w:sz w:val="20"/>
          <w:lang w:eastAsia="ko-KR"/>
        </w:rPr>
        <w:t>§</w:t>
      </w:r>
      <w:r w:rsidRPr="002C7F14">
        <w:rPr>
          <w:rFonts w:asciiTheme="minorEastAsia" w:eastAsiaTheme="minorEastAsia" w:hAnsiTheme="minorEastAsia"/>
          <w:b/>
          <w:sz w:val="20"/>
          <w:lang w:eastAsia="ko-KR"/>
        </w:rPr>
        <w:t xml:space="preserve"> M020.10 </w:t>
      </w:r>
      <w:r w:rsidRPr="002C7F14">
        <w:rPr>
          <w:rFonts w:asciiTheme="minorEastAsia" w:eastAsiaTheme="minorEastAsia" w:hAnsiTheme="minorEastAsia" w:hint="eastAsia"/>
          <w:b/>
          <w:sz w:val="20"/>
          <w:lang w:eastAsia="ko-KR"/>
        </w:rPr>
        <w:t>자외선차단제</w:t>
      </w:r>
      <w:r w:rsidRPr="002C7F14">
        <w:rPr>
          <w:rFonts w:asciiTheme="minorEastAsia" w:eastAsiaTheme="minorEastAsia" w:hAnsiTheme="minorEastAsia"/>
          <w:b/>
          <w:sz w:val="20"/>
          <w:lang w:eastAsia="ko-KR"/>
        </w:rPr>
        <w:t xml:space="preserve"> </w:t>
      </w:r>
      <w:r w:rsidRPr="002C7F14">
        <w:rPr>
          <w:rFonts w:asciiTheme="minorEastAsia" w:eastAsiaTheme="minorEastAsia" w:hAnsiTheme="minorEastAsia" w:hint="eastAsia"/>
          <w:b/>
          <w:sz w:val="20"/>
          <w:lang w:eastAsia="ko-KR"/>
        </w:rPr>
        <w:t>활성성분</w:t>
      </w:r>
    </w:p>
    <w:p w14:paraId="7D23A3B0"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p>
    <w:p w14:paraId="5B4BA4C7"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제품의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활성성분은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각</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대해</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농도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내에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있어야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하는</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것을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비롯하여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지정된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조건에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다음</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성분으로</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구성된다</w:t>
      </w:r>
      <w:r w:rsidRPr="002C7F14">
        <w:rPr>
          <w:rFonts w:asciiTheme="minorEastAsia" w:eastAsiaTheme="minorEastAsia" w:hAnsiTheme="minorEastAsia"/>
          <w:sz w:val="20"/>
          <w:lang w:eastAsia="ko-KR"/>
        </w:rPr>
        <w:t>.</w:t>
      </w:r>
    </w:p>
    <w:p w14:paraId="7FFD3A49" w14:textId="77777777" w:rsidR="00CF24D5" w:rsidRPr="002C7F14" w:rsidRDefault="00CF24D5" w:rsidP="00CF24D5">
      <w:pPr>
        <w:pStyle w:val="a9"/>
        <w:spacing w:line="264" w:lineRule="auto"/>
        <w:jc w:val="both"/>
        <w:rPr>
          <w:rFonts w:asciiTheme="minorEastAsia" w:eastAsiaTheme="minorEastAsia" w:hAnsiTheme="minorEastAsia"/>
          <w:sz w:val="20"/>
          <w:lang w:eastAsia="ko-KR"/>
        </w:rPr>
      </w:pPr>
    </w:p>
    <w:p w14:paraId="47A34692" w14:textId="5A01DCFB" w:rsidR="00E00EEF" w:rsidRPr="002C7F14" w:rsidRDefault="004E0A20" w:rsidP="00CF24D5">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(a)</w:t>
      </w:r>
      <w:r w:rsidRPr="002C7F14">
        <w:rPr>
          <w:rFonts w:asciiTheme="minorEastAsia" w:eastAsiaTheme="minorEastAsia" w:hAnsiTheme="minorEastAsia"/>
          <w:sz w:val="20"/>
          <w:lang w:eastAsia="ko-KR"/>
        </w:rPr>
        <w:t xml:space="preserve"> </w:t>
      </w:r>
      <w:r w:rsidR="00CF24D5" w:rsidRPr="002C7F14">
        <w:rPr>
          <w:rFonts w:asciiTheme="minorEastAsia" w:eastAsiaTheme="minorEastAsia" w:hAnsiTheme="minorEastAsia"/>
          <w:sz w:val="20"/>
          <w:lang w:eastAsia="ko-KR"/>
        </w:rPr>
        <w:t>~ (o) [</w:t>
      </w:r>
      <w:r w:rsidR="00CF24D5" w:rsidRPr="002C7F14">
        <w:rPr>
          <w:rFonts w:asciiTheme="minorEastAsia" w:eastAsiaTheme="minorEastAsia" w:hAnsiTheme="minorEastAsia" w:hint="eastAsia"/>
          <w:sz w:val="20"/>
          <w:lang w:eastAsia="ko-KR"/>
        </w:rPr>
        <w:t>유보</w:t>
      </w:r>
      <w:r w:rsidR="00CF24D5" w:rsidRPr="002C7F14">
        <w:rPr>
          <w:rFonts w:asciiTheme="minorEastAsia" w:eastAsiaTheme="minorEastAsia" w:hAnsiTheme="minorEastAsia"/>
          <w:sz w:val="20"/>
          <w:lang w:eastAsia="ko-KR"/>
        </w:rPr>
        <w:t>]</w:t>
      </w:r>
    </w:p>
    <w:p w14:paraId="2A6CE43E" w14:textId="626F9BB2" w:rsidR="001322FD" w:rsidRPr="002C7F14" w:rsidRDefault="001322FD" w:rsidP="001322FD">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(p)</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이산화티타늄</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최대</w:t>
      </w:r>
      <w:r w:rsidRPr="002C7F14">
        <w:rPr>
          <w:rFonts w:asciiTheme="minorEastAsia" w:eastAsiaTheme="minorEastAsia" w:hAnsiTheme="minorEastAsia"/>
          <w:sz w:val="20"/>
          <w:lang w:eastAsia="ko-KR"/>
        </w:rPr>
        <w:t xml:space="preserve"> 25%</w:t>
      </w:r>
    </w:p>
    <w:p w14:paraId="2E7CD945" w14:textId="3BD25D18" w:rsidR="001322FD" w:rsidRPr="002C7F14" w:rsidRDefault="001322FD" w:rsidP="001322FD">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(q)</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유보</w:t>
      </w:r>
      <w:r w:rsidRPr="002C7F14">
        <w:rPr>
          <w:rFonts w:asciiTheme="minorEastAsia" w:eastAsiaTheme="minorEastAsia" w:hAnsiTheme="minorEastAsia"/>
          <w:sz w:val="20"/>
          <w:lang w:eastAsia="ko-KR"/>
        </w:rPr>
        <w:t>]</w:t>
      </w:r>
    </w:p>
    <w:p w14:paraId="06A7EF22" w14:textId="10EB0846" w:rsidR="001322FD" w:rsidRPr="002C7F14" w:rsidRDefault="001322FD" w:rsidP="001322FD">
      <w:pPr>
        <w:pStyle w:val="a9"/>
        <w:spacing w:line="264" w:lineRule="auto"/>
        <w:jc w:val="both"/>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(r)</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산화아연</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최대</w:t>
      </w:r>
      <w:r w:rsidRPr="002C7F14">
        <w:rPr>
          <w:rFonts w:asciiTheme="minorEastAsia" w:eastAsiaTheme="minorEastAsia" w:hAnsiTheme="minorEastAsia"/>
          <w:sz w:val="20"/>
          <w:lang w:eastAsia="ko-KR"/>
        </w:rPr>
        <w:t xml:space="preserve"> 25%</w:t>
      </w:r>
    </w:p>
    <w:p w14:paraId="248417AD" w14:textId="7A8D12C6" w:rsidR="00E00EEF" w:rsidRPr="002C7F14" w:rsidRDefault="00E00EEF" w:rsidP="00EF791F">
      <w:pPr>
        <w:spacing w:line="264" w:lineRule="auto"/>
        <w:jc w:val="both"/>
        <w:rPr>
          <w:rFonts w:asciiTheme="minorEastAsia" w:eastAsiaTheme="minorEastAsia" w:hAnsiTheme="minorEastAsia" w:cs="맑은 고딕"/>
          <w:sz w:val="20"/>
          <w:szCs w:val="20"/>
          <w:lang w:eastAsia="ko-KR"/>
        </w:rPr>
      </w:pPr>
    </w:p>
    <w:p w14:paraId="0C760646" w14:textId="77777777" w:rsidR="001322FD" w:rsidRPr="002C7F14" w:rsidRDefault="001322FD" w:rsidP="001322FD">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M020.20 </w:t>
      </w:r>
      <w:r w:rsidRPr="002C7F14">
        <w:rPr>
          <w:rFonts w:asciiTheme="minorEastAsia" w:eastAsiaTheme="minorEastAsia" w:hAnsiTheme="minorEastAsia" w:cs="맑은 고딕" w:hint="eastAsia"/>
          <w:b/>
          <w:sz w:val="20"/>
          <w:szCs w:val="20"/>
          <w:lang w:eastAsia="ko-KR"/>
        </w:rPr>
        <w:t>허용된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활성성분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조합</w:t>
      </w:r>
    </w:p>
    <w:p w14:paraId="26DB5A90" w14:textId="77777777"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p>
    <w:p w14:paraId="28475B60" w14:textId="23837346" w:rsidR="001322FD" w:rsidRPr="002C7F14" w:rsidRDefault="001322FD" w:rsidP="00C74CCC">
      <w:pPr>
        <w:pStyle w:val="a8"/>
        <w:numPr>
          <w:ilvl w:val="0"/>
          <w:numId w:val="39"/>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2D2B56B4" w14:textId="04EA1C06" w:rsidR="001322FD" w:rsidRPr="002C7F14" w:rsidRDefault="001322FD" w:rsidP="00C8240F">
      <w:pPr>
        <w:pStyle w:val="a8"/>
        <w:numPr>
          <w:ilvl w:val="0"/>
          <w:numId w:val="40"/>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03043F3" w14:textId="2441D29F" w:rsidR="001322FD" w:rsidRPr="002C7F14" w:rsidRDefault="001322FD" w:rsidP="00C8240F">
      <w:pPr>
        <w:pStyle w:val="a8"/>
        <w:numPr>
          <w:ilvl w:val="0"/>
          <w:numId w:val="40"/>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농도는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완제품에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2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제공하기에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충분해야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6AB60F9" w14:textId="77777777" w:rsidR="001322FD" w:rsidRPr="002C7F14" w:rsidRDefault="001322FD" w:rsidP="00C8240F">
      <w:pPr>
        <w:pStyle w:val="a8"/>
        <w:numPr>
          <w:ilvl w:val="0"/>
          <w:numId w:val="40"/>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완제품의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w:t>
      </w:r>
      <w:r w:rsidRPr="002C7F14">
        <w:rPr>
          <w:rFonts w:asciiTheme="minorEastAsia" w:eastAsiaTheme="minorEastAsia" w:hAnsiTheme="minorEastAsia" w:cs="맑은 고딕" w:hint="eastAsia"/>
          <w:sz w:val="20"/>
          <w:szCs w:val="20"/>
          <w:lang w:eastAsia="ko-KR"/>
        </w:rPr>
        <w:t>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수에</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곱한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이상이어야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7B403EF" w14:textId="77777777"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p>
    <w:p w14:paraId="5D457D02" w14:textId="688AD9BB" w:rsidR="001322FD" w:rsidRPr="002C7F14" w:rsidRDefault="001322FD" w:rsidP="00C74CCC">
      <w:pPr>
        <w:pStyle w:val="a8"/>
        <w:numPr>
          <w:ilvl w:val="0"/>
          <w:numId w:val="39"/>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M020.20(a)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M016.10(a), (d), (e), (g), (h), (i), (k), (l), (m)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(r)</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p>
    <w:p w14:paraId="2FC9EF50" w14:textId="6CD3F06B" w:rsidR="001322FD" w:rsidRPr="002C7F14" w:rsidRDefault="001322FD" w:rsidP="00C8240F">
      <w:pPr>
        <w:pStyle w:val="a8"/>
        <w:numPr>
          <w:ilvl w:val="0"/>
          <w:numId w:val="4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D102A94" w14:textId="19BB26B8" w:rsidR="001322FD" w:rsidRPr="002C7F14" w:rsidRDefault="001322FD" w:rsidP="00C8240F">
      <w:pPr>
        <w:pStyle w:val="a8"/>
        <w:numPr>
          <w:ilvl w:val="0"/>
          <w:numId w:val="4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농도는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완제품에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2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제공하기에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충분해야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2C4AC2A5" w14:textId="3BC91F69" w:rsidR="001322FD" w:rsidRPr="002C7F14" w:rsidRDefault="001322FD" w:rsidP="00C8240F">
      <w:pPr>
        <w:pStyle w:val="a8"/>
        <w:numPr>
          <w:ilvl w:val="0"/>
          <w:numId w:val="4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완제품의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w:t>
      </w:r>
      <w:r w:rsidRPr="002C7F14">
        <w:rPr>
          <w:rFonts w:asciiTheme="minorEastAsia" w:eastAsiaTheme="minorEastAsia" w:hAnsiTheme="minorEastAsia" w:cs="맑은 고딕" w:hint="eastAsia"/>
          <w:sz w:val="20"/>
          <w:szCs w:val="20"/>
          <w:lang w:eastAsia="ko-KR"/>
        </w:rPr>
        <w:t>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수에</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곱한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이상이어야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B19F08F" w14:textId="77777777" w:rsidR="001322FD" w:rsidRPr="002C7F14" w:rsidRDefault="001322FD" w:rsidP="00C8240F">
      <w:pPr>
        <w:pStyle w:val="a8"/>
        <w:numPr>
          <w:ilvl w:val="0"/>
          <w:numId w:val="4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M020.50,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D2E75C4" w14:textId="77777777"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p>
    <w:p w14:paraId="5E09916D" w14:textId="31CFBDFD" w:rsidR="001322FD" w:rsidRPr="002C7F14" w:rsidRDefault="001322FD" w:rsidP="00C8240F">
      <w:pPr>
        <w:spacing w:afterLines="50" w:after="120"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M020.30 </w:t>
      </w:r>
      <w:r w:rsidRPr="002C7F14">
        <w:rPr>
          <w:rFonts w:asciiTheme="minorEastAsia" w:eastAsiaTheme="minorEastAsia" w:hAnsiTheme="minorEastAsia" w:cs="맑은 고딕" w:hint="eastAsia"/>
          <w:b/>
          <w:sz w:val="20"/>
          <w:szCs w:val="20"/>
          <w:lang w:eastAsia="ko-KR"/>
        </w:rPr>
        <w:t>투여</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경로</w:t>
      </w:r>
    </w:p>
    <w:p w14:paraId="301CED12" w14:textId="77777777"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국소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투여용이다</w:t>
      </w:r>
      <w:r w:rsidRPr="002C7F14">
        <w:rPr>
          <w:rFonts w:asciiTheme="minorEastAsia" w:eastAsiaTheme="minorEastAsia" w:hAnsiTheme="minorEastAsia" w:cs="맑은 고딕"/>
          <w:sz w:val="20"/>
          <w:szCs w:val="20"/>
          <w:lang w:eastAsia="ko-KR"/>
        </w:rPr>
        <w:t>.</w:t>
      </w:r>
    </w:p>
    <w:p w14:paraId="60BFA9A6" w14:textId="77777777"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p>
    <w:p w14:paraId="11162859" w14:textId="33DC248A" w:rsidR="00E00EEF" w:rsidRPr="002C7F14" w:rsidRDefault="001322FD" w:rsidP="001322FD">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M020.40 </w:t>
      </w:r>
      <w:r w:rsidRPr="002C7F14">
        <w:rPr>
          <w:rFonts w:asciiTheme="minorEastAsia" w:eastAsiaTheme="minorEastAsia" w:hAnsiTheme="minorEastAsia" w:cs="맑은 고딕" w:hint="eastAsia"/>
          <w:b/>
          <w:sz w:val="20"/>
          <w:szCs w:val="20"/>
          <w:lang w:eastAsia="ko-KR"/>
        </w:rPr>
        <w:t>투여</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형태</w:t>
      </w:r>
    </w:p>
    <w:p w14:paraId="26037D3F" w14:textId="09B871B3"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하나이며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추가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충족한다</w:t>
      </w:r>
      <w:r w:rsidRPr="002C7F14">
        <w:rPr>
          <w:rFonts w:asciiTheme="minorEastAsia" w:eastAsiaTheme="minorEastAsia" w:hAnsiTheme="minorEastAsia" w:cs="맑은 고딕"/>
          <w:sz w:val="20"/>
          <w:szCs w:val="20"/>
          <w:lang w:eastAsia="ko-KR"/>
        </w:rPr>
        <w:t>.</w:t>
      </w:r>
    </w:p>
    <w:p w14:paraId="6EE89AEC"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오일</w:t>
      </w:r>
    </w:p>
    <w:p w14:paraId="6C8C430C"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로션</w:t>
      </w:r>
    </w:p>
    <w:p w14:paraId="5BF5122D"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크림</w:t>
      </w:r>
    </w:p>
    <w:p w14:paraId="63C73B10"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젤</w:t>
      </w:r>
    </w:p>
    <w:p w14:paraId="6D31B22C"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버터</w:t>
      </w:r>
    </w:p>
    <w:p w14:paraId="268D2843"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페이스트</w:t>
      </w:r>
    </w:p>
    <w:p w14:paraId="104E69EF"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연고</w:t>
      </w:r>
    </w:p>
    <w:p w14:paraId="2B42B644"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스틱</w:t>
      </w:r>
    </w:p>
    <w:p w14:paraId="39570A46" w14:textId="77777777" w:rsidR="001322FD" w:rsidRPr="002C7F14" w:rsidRDefault="001322FD" w:rsidP="00C8240F">
      <w:pPr>
        <w:pStyle w:val="a8"/>
        <w:numPr>
          <w:ilvl w:val="0"/>
          <w:numId w:val="38"/>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스프레이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w:t>
      </w:r>
    </w:p>
    <w:p w14:paraId="5B31E26A" w14:textId="77777777" w:rsidR="001322FD" w:rsidRPr="002C7F14" w:rsidRDefault="001322FD" w:rsidP="001322FD">
      <w:pPr>
        <w:spacing w:line="264" w:lineRule="auto"/>
        <w:jc w:val="both"/>
        <w:rPr>
          <w:rFonts w:asciiTheme="minorEastAsia" w:eastAsiaTheme="minorEastAsia" w:hAnsiTheme="minorEastAsia" w:cs="맑은 고딕"/>
          <w:sz w:val="20"/>
          <w:szCs w:val="20"/>
          <w:lang w:eastAsia="ko-KR"/>
        </w:rPr>
      </w:pPr>
    </w:p>
    <w:p w14:paraId="46B00C66" w14:textId="66D9BA3C" w:rsidR="001322FD" w:rsidRPr="002C7F14" w:rsidRDefault="001322FD" w:rsidP="00C8240F">
      <w:pPr>
        <w:pStyle w:val="a8"/>
        <w:numPr>
          <w:ilvl w:val="0"/>
          <w:numId w:val="42"/>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소비자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w:t>
      </w:r>
      <w:r w:rsidRPr="002C7F14">
        <w:rPr>
          <w:rFonts w:asciiTheme="minorEastAsia" w:eastAsiaTheme="minorEastAsia" w:hAnsiTheme="minorEastAsia" w:cs="맑은 고딕"/>
          <w:sz w:val="20"/>
          <w:szCs w:val="20"/>
          <w:lang w:eastAsia="ko-KR"/>
        </w:rPr>
        <w:t>:</w:t>
      </w:r>
    </w:p>
    <w:p w14:paraId="49CA7C5E"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0CEAFB7D" w14:textId="51AABFFB" w:rsidR="001322FD" w:rsidRPr="002C7F14" w:rsidRDefault="001322FD" w:rsidP="00C8240F">
      <w:pPr>
        <w:pStyle w:val="a8"/>
        <w:numPr>
          <w:ilvl w:val="0"/>
          <w:numId w:val="43"/>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소비자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입자의</w:t>
      </w:r>
      <w:r w:rsidRPr="002C7F14">
        <w:rPr>
          <w:rFonts w:asciiTheme="minorEastAsia" w:eastAsiaTheme="minorEastAsia" w:hAnsiTheme="minorEastAsia" w:cs="맑은 고딕"/>
          <w:sz w:val="20"/>
          <w:szCs w:val="20"/>
          <w:lang w:eastAsia="ko-KR"/>
        </w:rPr>
        <w:t xml:space="preserve"> 10% </w:t>
      </w:r>
      <w:r w:rsidRPr="002C7F14">
        <w:rPr>
          <w:rFonts w:asciiTheme="minorEastAsia" w:eastAsiaTheme="minorEastAsia" w:hAnsiTheme="minorEastAsia" w:cs="맑은 고딕" w:hint="eastAsia"/>
          <w:sz w:val="20"/>
          <w:szCs w:val="20"/>
          <w:lang w:eastAsia="ko-KR"/>
        </w:rPr>
        <w:t>이하가</w:t>
      </w:r>
      <w:r w:rsidRPr="002C7F14">
        <w:rPr>
          <w:rFonts w:asciiTheme="minorEastAsia" w:eastAsiaTheme="minorEastAsia" w:hAnsiTheme="minorEastAsia" w:cs="맑은 고딕"/>
          <w:sz w:val="20"/>
          <w:szCs w:val="20"/>
          <w:lang w:eastAsia="ko-KR"/>
        </w:rPr>
        <w:t xml:space="preserve"> 10 </w:t>
      </w:r>
      <w:r w:rsidRPr="002C7F14">
        <w:rPr>
          <w:rFonts w:asciiTheme="minorEastAsia" w:eastAsiaTheme="minorEastAsia" w:hAnsiTheme="minorEastAsia" w:cs="맑은 고딕" w:hint="eastAsia"/>
          <w:sz w:val="20"/>
          <w:szCs w:val="20"/>
          <w:lang w:eastAsia="ko-KR"/>
        </w:rPr>
        <w:t>마이크로미터보다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작다</w:t>
      </w:r>
      <w:r w:rsidRPr="002C7F14">
        <w:rPr>
          <w:rFonts w:asciiTheme="minorEastAsia" w:eastAsiaTheme="minorEastAsia" w:hAnsiTheme="minorEastAsia" w:cs="맑은 고딕"/>
          <w:sz w:val="20"/>
          <w:szCs w:val="20"/>
          <w:lang w:eastAsia="ko-KR"/>
        </w:rPr>
        <w:t>.</w:t>
      </w:r>
    </w:p>
    <w:p w14:paraId="1E93DAED"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136CB7C6" w14:textId="400B6600" w:rsidR="00C74C5C" w:rsidRPr="002C7F14" w:rsidRDefault="001322FD" w:rsidP="00C74C5C">
      <w:pPr>
        <w:pStyle w:val="a8"/>
        <w:numPr>
          <w:ilvl w:val="0"/>
          <w:numId w:val="43"/>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소비자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5 </w:t>
      </w:r>
      <w:r w:rsidRPr="002C7F14">
        <w:rPr>
          <w:rFonts w:asciiTheme="minorEastAsia" w:eastAsiaTheme="minorEastAsia" w:hAnsiTheme="minorEastAsia" w:cs="맑은 고딕" w:hint="eastAsia"/>
          <w:sz w:val="20"/>
          <w:szCs w:val="20"/>
          <w:lang w:eastAsia="ko-KR"/>
        </w:rPr>
        <w:t>마이크로미터보다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없다</w:t>
      </w:r>
      <w:r w:rsidRPr="002C7F14">
        <w:rPr>
          <w:rFonts w:asciiTheme="minorEastAsia" w:eastAsiaTheme="minorEastAsia" w:hAnsiTheme="minorEastAsia" w:cs="맑은 고딕"/>
          <w:sz w:val="20"/>
          <w:szCs w:val="20"/>
          <w:lang w:eastAsia="ko-KR"/>
        </w:rPr>
        <w:t>.</w:t>
      </w:r>
    </w:p>
    <w:p w14:paraId="7A1504F9"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76B298E2" w14:textId="1054D5A2" w:rsidR="001322FD" w:rsidRPr="002C7F14" w:rsidRDefault="001322FD" w:rsidP="00C8240F">
      <w:pPr>
        <w:pStyle w:val="a8"/>
        <w:numPr>
          <w:ilvl w:val="0"/>
          <w:numId w:val="42"/>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M020.3(d)</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극인화성</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599ED9C4"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64568226" w14:textId="3E151922" w:rsidR="001322FD" w:rsidRPr="002C7F14" w:rsidRDefault="001322FD" w:rsidP="00C8240F">
      <w:pPr>
        <w:pStyle w:val="a8"/>
        <w:numPr>
          <w:ilvl w:val="0"/>
          <w:numId w:val="42"/>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51</w:t>
      </w:r>
      <w:r w:rsidRPr="002C7F14">
        <w:rPr>
          <w:rFonts w:asciiTheme="minorEastAsia" w:eastAsiaTheme="minorEastAsia" w:hAnsiTheme="minorEastAsia" w:cs="맑은 고딕" w:hint="eastAsia"/>
          <w:sz w:val="20"/>
          <w:szCs w:val="20"/>
          <w:lang w:eastAsia="ko-KR"/>
        </w:rPr>
        <w:t>권</w:t>
      </w:r>
      <w:r w:rsidRPr="002C7F14">
        <w:rPr>
          <w:rFonts w:asciiTheme="minorEastAsia" w:eastAsiaTheme="minorEastAsia" w:hAnsiTheme="minorEastAsia" w:cs="맑은 고딕"/>
          <w:sz w:val="20"/>
          <w:szCs w:val="20"/>
          <w:lang w:eastAsia="ko-KR"/>
        </w:rPr>
        <w:t xml:space="preserve"> 28539 </w:t>
      </w:r>
      <w:r w:rsidRPr="002C7F14">
        <w:rPr>
          <w:rFonts w:asciiTheme="minorEastAsia" w:eastAsiaTheme="minorEastAsia" w:hAnsiTheme="minorEastAsia" w:cs="맑은 고딕" w:hint="eastAsia"/>
          <w:sz w:val="20"/>
          <w:szCs w:val="20"/>
          <w:lang w:eastAsia="ko-KR"/>
        </w:rPr>
        <w:t>페이지</w:t>
      </w:r>
      <w:r w:rsidRPr="002C7F14">
        <w:rPr>
          <w:rFonts w:asciiTheme="minorEastAsia" w:eastAsiaTheme="minorEastAsia" w:hAnsiTheme="minorEastAsia" w:cs="맑은 고딕"/>
          <w:sz w:val="20"/>
          <w:szCs w:val="20"/>
          <w:lang w:eastAsia="ko-KR"/>
        </w:rPr>
        <w:t>(1986</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월</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일</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16</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1500.43a</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시험했으며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용어인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가연성</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건조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시간이</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미만이다</w:t>
      </w:r>
      <w:r w:rsidRPr="002C7F14">
        <w:rPr>
          <w:rFonts w:asciiTheme="minorEastAsia" w:eastAsiaTheme="minorEastAsia" w:hAnsiTheme="minorEastAsia" w:cs="맑은 고딕"/>
          <w:sz w:val="20"/>
          <w:szCs w:val="20"/>
          <w:lang w:eastAsia="ko-KR"/>
        </w:rPr>
        <w:t>.</w:t>
      </w:r>
    </w:p>
    <w:p w14:paraId="4A71FA87"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5A8601C5" w14:textId="21C697B0" w:rsidR="001322FD" w:rsidRPr="002C7F14" w:rsidRDefault="001322FD" w:rsidP="00C8240F">
      <w:pPr>
        <w:pStyle w:val="a8"/>
        <w:numPr>
          <w:ilvl w:val="0"/>
          <w:numId w:val="42"/>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M020.52(b)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(c)(5)</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라벨링되었다</w:t>
      </w:r>
      <w:r w:rsidRPr="002C7F14">
        <w:rPr>
          <w:rFonts w:asciiTheme="minorEastAsia" w:eastAsiaTheme="minorEastAsia" w:hAnsiTheme="minorEastAsia" w:cs="맑은 고딕"/>
          <w:sz w:val="20"/>
          <w:szCs w:val="20"/>
          <w:lang w:eastAsia="ko-KR"/>
        </w:rPr>
        <w:t>.</w:t>
      </w:r>
    </w:p>
    <w:p w14:paraId="27F456EA"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05328C16" w14:textId="7F11FDA7" w:rsidR="001322FD" w:rsidRPr="002C7F14" w:rsidRDefault="001322FD" w:rsidP="00C8240F">
      <w:pPr>
        <w:pStyle w:val="a8"/>
        <w:numPr>
          <w:ilvl w:val="0"/>
          <w:numId w:val="42"/>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211</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반영된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건조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03CE5AD"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7100EB8E" w14:textId="79C7158F" w:rsidR="00E00EEF" w:rsidRPr="002C7F14" w:rsidRDefault="001322FD" w:rsidP="00C8240F">
      <w:pPr>
        <w:pStyle w:val="a8"/>
        <w:numPr>
          <w:ilvl w:val="0"/>
          <w:numId w:val="44"/>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소비자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65931179"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5D723238" w14:textId="18A05FAF" w:rsidR="00E2077B" w:rsidRPr="002C7F14" w:rsidRDefault="00E2077B" w:rsidP="00E2077B">
      <w:pPr>
        <w:pStyle w:val="a8"/>
        <w:numPr>
          <w:ilvl w:val="0"/>
          <w:numId w:val="44"/>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16</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1500.43a</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B8375E5" w14:textId="77777777" w:rsidR="00C74C5C" w:rsidRPr="002C7F14" w:rsidRDefault="00C74C5C" w:rsidP="00C74C5C">
      <w:pPr>
        <w:spacing w:line="264" w:lineRule="auto"/>
        <w:jc w:val="both"/>
        <w:rPr>
          <w:rFonts w:asciiTheme="minorEastAsia" w:eastAsiaTheme="minorEastAsia" w:hAnsiTheme="minorEastAsia" w:cs="맑은 고딕"/>
          <w:sz w:val="20"/>
          <w:szCs w:val="20"/>
          <w:lang w:eastAsia="ko-KR"/>
        </w:rPr>
      </w:pPr>
    </w:p>
    <w:p w14:paraId="00FD7EF7" w14:textId="77777777" w:rsidR="00E2077B" w:rsidRPr="002C7F14" w:rsidRDefault="00E2077B" w:rsidP="00E2077B">
      <w:pPr>
        <w:pStyle w:val="a8"/>
        <w:numPr>
          <w:ilvl w:val="0"/>
          <w:numId w:val="44"/>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51</w:t>
      </w:r>
      <w:r w:rsidRPr="002C7F14">
        <w:rPr>
          <w:rFonts w:asciiTheme="minorEastAsia" w:eastAsiaTheme="minorEastAsia" w:hAnsiTheme="minorEastAsia" w:cs="맑은 고딕" w:hint="eastAsia"/>
          <w:sz w:val="20"/>
          <w:szCs w:val="20"/>
          <w:lang w:eastAsia="ko-KR"/>
        </w:rPr>
        <w:t>권</w:t>
      </w:r>
      <w:r w:rsidRPr="002C7F14">
        <w:rPr>
          <w:rFonts w:asciiTheme="minorEastAsia" w:eastAsiaTheme="minorEastAsia" w:hAnsiTheme="minorEastAsia" w:cs="맑은 고딕"/>
          <w:sz w:val="20"/>
          <w:szCs w:val="20"/>
          <w:lang w:eastAsia="ko-KR"/>
        </w:rPr>
        <w:t xml:space="preserve"> 28539 </w:t>
      </w:r>
      <w:r w:rsidRPr="002C7F14">
        <w:rPr>
          <w:rFonts w:asciiTheme="minorEastAsia" w:eastAsiaTheme="minorEastAsia" w:hAnsiTheme="minorEastAsia" w:cs="맑은 고딕" w:hint="eastAsia"/>
          <w:sz w:val="20"/>
          <w:szCs w:val="20"/>
          <w:lang w:eastAsia="ko-KR"/>
        </w:rPr>
        <w:t>페이지</w:t>
      </w:r>
      <w:r w:rsidRPr="002C7F14">
        <w:rPr>
          <w:rFonts w:asciiTheme="minorEastAsia" w:eastAsiaTheme="minorEastAsia" w:hAnsiTheme="minorEastAsia" w:cs="맑은 고딕"/>
          <w:sz w:val="20"/>
          <w:szCs w:val="20"/>
          <w:lang w:eastAsia="ko-KR"/>
        </w:rPr>
        <w:t>(1986</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월</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일</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16</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1500.43a</w:t>
      </w:r>
      <w:r w:rsidRPr="002C7F14">
        <w:rPr>
          <w:rFonts w:asciiTheme="minorEastAsia" w:eastAsiaTheme="minorEastAsia" w:hAnsiTheme="minorEastAsia" w:cs="맑은 고딕" w:hint="eastAsia"/>
          <w:sz w:val="20"/>
          <w:szCs w:val="20"/>
          <w:lang w:eastAsia="ko-KR"/>
        </w:rPr>
        <w:t>호에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용어인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가연성</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건조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778C51C" w14:textId="77777777"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69000856" w14:textId="77777777" w:rsidR="000E20D8" w:rsidRPr="002C7F14" w:rsidRDefault="000E20D8" w:rsidP="000E20D8">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w:t>
      </w:r>
      <w:r w:rsidRPr="002C7F14">
        <w:rPr>
          <w:rFonts w:asciiTheme="minorEastAsia" w:eastAsiaTheme="minorEastAsia" w:hAnsiTheme="minorEastAsia" w:cs="맑은 고딕"/>
          <w:b/>
          <w:sz w:val="20"/>
          <w:szCs w:val="20"/>
          <w:lang w:eastAsia="ko-KR"/>
        </w:rPr>
        <w:t>C</w:t>
      </w:r>
      <w:r w:rsidRPr="002C7F14">
        <w:rPr>
          <w:rFonts w:asciiTheme="minorEastAsia" w:eastAsiaTheme="minorEastAsia" w:hAnsiTheme="minorEastAsia" w:cs="맑은 고딕" w:hint="eastAsia"/>
          <w:b/>
          <w:sz w:val="20"/>
          <w:szCs w:val="20"/>
          <w:lang w:eastAsia="ko-KR"/>
        </w:rPr>
        <w:t>부—라벨링</w:t>
      </w:r>
    </w:p>
    <w:p w14:paraId="414CBE8F" w14:textId="77777777" w:rsidR="000E20D8" w:rsidRPr="002C7F14" w:rsidRDefault="000E20D8" w:rsidP="000E20D8">
      <w:pPr>
        <w:spacing w:line="264" w:lineRule="auto"/>
        <w:jc w:val="both"/>
        <w:rPr>
          <w:rFonts w:asciiTheme="minorEastAsia" w:eastAsiaTheme="minorEastAsia" w:hAnsiTheme="minorEastAsia" w:cs="맑은 고딕"/>
          <w:sz w:val="20"/>
          <w:szCs w:val="20"/>
          <w:lang w:eastAsia="ko-KR"/>
        </w:rPr>
      </w:pPr>
    </w:p>
    <w:p w14:paraId="38373C55" w14:textId="77777777" w:rsidR="000E20D8" w:rsidRPr="002C7F14" w:rsidRDefault="000E20D8" w:rsidP="000E20D8">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M020.50 </w:t>
      </w:r>
      <w:r w:rsidRPr="002C7F14">
        <w:rPr>
          <w:rFonts w:asciiTheme="minorEastAsia" w:eastAsiaTheme="minorEastAsia" w:hAnsiTheme="minorEastAsia" w:cs="맑은 고딕" w:hint="eastAsia"/>
          <w:b/>
          <w:sz w:val="20"/>
          <w:szCs w:val="20"/>
          <w:lang w:eastAsia="ko-KR"/>
        </w:rPr>
        <w:t>모든</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자외선</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차단</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의약품의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주요</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표시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패널</w:t>
      </w:r>
    </w:p>
    <w:p w14:paraId="3A124E30" w14:textId="77777777" w:rsidR="000E20D8" w:rsidRPr="002C7F14" w:rsidRDefault="000E20D8" w:rsidP="000E20D8">
      <w:pPr>
        <w:spacing w:line="264" w:lineRule="auto"/>
        <w:jc w:val="both"/>
        <w:rPr>
          <w:rFonts w:asciiTheme="minorEastAsia" w:eastAsiaTheme="minorEastAsia" w:hAnsiTheme="minorEastAsia" w:cs="맑은 고딕"/>
          <w:sz w:val="20"/>
          <w:szCs w:val="20"/>
          <w:lang w:eastAsia="ko-KR"/>
        </w:rPr>
      </w:pPr>
    </w:p>
    <w:p w14:paraId="6B4E61F3" w14:textId="77777777" w:rsidR="000E20D8" w:rsidRPr="002C7F14" w:rsidRDefault="000E20D8" w:rsidP="00DF70D1">
      <w:pPr>
        <w:pStyle w:val="a8"/>
        <w:numPr>
          <w:ilvl w:val="0"/>
          <w:numId w:val="45"/>
        </w:numPr>
        <w:spacing w:line="264" w:lineRule="auto"/>
        <w:ind w:leftChars="0" w:left="40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항목을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910914D" w14:textId="77777777" w:rsidR="000E20D8" w:rsidRPr="002C7F14" w:rsidRDefault="000E20D8" w:rsidP="000E20D8">
      <w:pPr>
        <w:spacing w:line="264" w:lineRule="auto"/>
        <w:jc w:val="both"/>
        <w:rPr>
          <w:rFonts w:asciiTheme="minorEastAsia" w:eastAsiaTheme="minorEastAsia" w:hAnsiTheme="minorEastAsia" w:cs="맑은 고딕"/>
          <w:sz w:val="20"/>
          <w:szCs w:val="20"/>
          <w:lang w:eastAsia="ko-KR"/>
        </w:rPr>
      </w:pPr>
    </w:p>
    <w:p w14:paraId="49EB4BAF" w14:textId="4D814C91" w:rsidR="000E20D8" w:rsidRPr="002C7F14" w:rsidRDefault="000E20D8" w:rsidP="00DF70D1">
      <w:pPr>
        <w:pStyle w:val="a8"/>
        <w:numPr>
          <w:ilvl w:val="0"/>
          <w:numId w:val="46"/>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제품식별명</w:t>
      </w:r>
    </w:p>
    <w:p w14:paraId="7882D218" w14:textId="3AEBC286" w:rsidR="000E20D8" w:rsidRPr="002C7F14" w:rsidRDefault="000E20D8" w:rsidP="00DF70D1">
      <w:pPr>
        <w:pStyle w:val="a8"/>
        <w:numPr>
          <w:ilvl w:val="0"/>
          <w:numId w:val="47"/>
        </w:numPr>
        <w:tabs>
          <w:tab w:val="left" w:pos="1418"/>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배치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일반의약품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알파벳순으로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로션</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스프레이</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구성한다</w:t>
      </w:r>
      <w:r w:rsidRPr="002C7F14">
        <w:rPr>
          <w:rFonts w:asciiTheme="minorEastAsia" w:eastAsiaTheme="minorEastAsia" w:hAnsiTheme="minorEastAsia" w:cs="맑은 고딕"/>
          <w:sz w:val="20"/>
          <w:szCs w:val="20"/>
          <w:lang w:eastAsia="ko-KR"/>
        </w:rPr>
        <w:t>.</w:t>
      </w:r>
    </w:p>
    <w:p w14:paraId="01926A3F" w14:textId="77777777" w:rsidR="00C74C5C" w:rsidRPr="002C7F14" w:rsidRDefault="00C74C5C" w:rsidP="00C74C5C">
      <w:pPr>
        <w:tabs>
          <w:tab w:val="left" w:pos="1418"/>
        </w:tabs>
        <w:spacing w:line="264" w:lineRule="auto"/>
        <w:jc w:val="both"/>
        <w:rPr>
          <w:rFonts w:asciiTheme="minorEastAsia" w:eastAsiaTheme="minorEastAsia" w:hAnsiTheme="minorEastAsia" w:cs="맑은 고딕"/>
          <w:sz w:val="20"/>
          <w:szCs w:val="20"/>
          <w:lang w:eastAsia="ko-KR"/>
        </w:rPr>
      </w:pPr>
    </w:p>
    <w:p w14:paraId="4DC2D0F0" w14:textId="77777777" w:rsidR="000E20D8" w:rsidRPr="002C7F14" w:rsidRDefault="000E20D8" w:rsidP="00DF70D1">
      <w:pPr>
        <w:pStyle w:val="a8"/>
        <w:numPr>
          <w:ilvl w:val="0"/>
          <w:numId w:val="47"/>
        </w:numPr>
        <w:tabs>
          <w:tab w:val="left" w:pos="1418"/>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현저성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인쇄물의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1/4 </w:t>
      </w:r>
      <w:r w:rsidRPr="002C7F14">
        <w:rPr>
          <w:rFonts w:asciiTheme="minorEastAsia" w:eastAsiaTheme="minorEastAsia" w:hAnsiTheme="minorEastAsia" w:cs="맑은 고딕" w:hint="eastAsia"/>
          <w:sz w:val="20"/>
          <w:szCs w:val="20"/>
          <w:lang w:eastAsia="ko-KR"/>
        </w:rPr>
        <w:t>크기의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상품명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연결하여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포장이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놓이는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바닥과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평행이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배경색을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색상으로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추가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외에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그래픽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연속된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5D66885" w14:textId="77777777" w:rsidR="000E20D8" w:rsidRPr="002C7F14" w:rsidRDefault="000E20D8" w:rsidP="000E20D8">
      <w:pPr>
        <w:spacing w:line="264" w:lineRule="auto"/>
        <w:jc w:val="both"/>
        <w:rPr>
          <w:rFonts w:asciiTheme="minorEastAsia" w:eastAsiaTheme="minorEastAsia" w:hAnsiTheme="minorEastAsia" w:cs="맑은 고딕"/>
          <w:sz w:val="20"/>
          <w:szCs w:val="20"/>
          <w:lang w:eastAsia="ko-KR"/>
        </w:rPr>
      </w:pPr>
    </w:p>
    <w:p w14:paraId="0B834371" w14:textId="3CCBEF82" w:rsidR="000E20D8" w:rsidRPr="002C7F14" w:rsidRDefault="000E20D8" w:rsidP="00DF70D1">
      <w:pPr>
        <w:pStyle w:val="a8"/>
        <w:numPr>
          <w:ilvl w:val="0"/>
          <w:numId w:val="46"/>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효과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p>
    <w:p w14:paraId="45BEED03" w14:textId="77777777" w:rsidR="000E20D8" w:rsidRPr="002C7F14" w:rsidRDefault="000E20D8" w:rsidP="00DF70D1">
      <w:pPr>
        <w:pStyle w:val="a8"/>
        <w:numPr>
          <w:ilvl w:val="0"/>
          <w:numId w:val="48"/>
        </w:numPr>
        <w:tabs>
          <w:tab w:val="left" w:pos="1276"/>
        </w:tabs>
        <w:spacing w:line="264" w:lineRule="auto"/>
        <w:ind w:leftChars="0" w:left="851"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입증된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속하는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범위의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삽입함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48977750" w14:textId="77777777" w:rsidR="000E20D8" w:rsidRPr="002C7F14" w:rsidRDefault="000E20D8" w:rsidP="000E20D8">
      <w:pPr>
        <w:spacing w:line="264" w:lineRule="auto"/>
        <w:jc w:val="both"/>
        <w:rPr>
          <w:rFonts w:asciiTheme="minorEastAsia" w:eastAsiaTheme="minorEastAsia" w:hAnsiTheme="minorEastAsia" w:cs="맑은 고딕"/>
          <w:sz w:val="20"/>
          <w:szCs w:val="20"/>
          <w:lang w:eastAsia="ko-KR"/>
        </w:rPr>
      </w:pPr>
    </w:p>
    <w:p w14:paraId="7FBDBBE5" w14:textId="75C90F20" w:rsidR="00B07B6F" w:rsidRPr="002C7F14" w:rsidRDefault="000E20D8" w:rsidP="000E20D8">
      <w:pPr>
        <w:spacing w:line="264" w:lineRule="auto"/>
        <w:ind w:leftChars="386" w:left="849"/>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M020.50(a)(2)(i)</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w:t>
      </w:r>
      <w:r w:rsidRPr="002C7F14">
        <w:rPr>
          <w:rFonts w:asciiTheme="minorEastAsia" w:eastAsiaTheme="minorEastAsia" w:hAnsiTheme="minorEastAsia" w:cs="맑은 고딕"/>
          <w:sz w:val="20"/>
          <w:szCs w:val="20"/>
          <w:lang w:eastAsia="ko-KR"/>
        </w:rPr>
        <w:t xml:space="preserve"> 1--SPF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범위</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602"/>
      </w:tblGrid>
      <w:tr w:rsidR="000E20D8" w:rsidRPr="002C7F14" w14:paraId="167680AC" w14:textId="77777777" w:rsidTr="00B46D35">
        <w:trPr>
          <w:trHeight w:val="364"/>
        </w:trPr>
        <w:tc>
          <w:tcPr>
            <w:tcW w:w="2602" w:type="dxa"/>
            <w:vAlign w:val="center"/>
          </w:tcPr>
          <w:p w14:paraId="0F1370C9" w14:textId="1D3DE8C6" w:rsidR="000E20D8" w:rsidRPr="002C7F14" w:rsidRDefault="000E20D8" w:rsidP="000E20D8">
            <w:pPr>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결정된</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값</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범위</w:t>
            </w:r>
          </w:p>
        </w:tc>
        <w:tc>
          <w:tcPr>
            <w:tcW w:w="2602" w:type="dxa"/>
            <w:vAlign w:val="center"/>
          </w:tcPr>
          <w:p w14:paraId="77DA8D95" w14:textId="6B17A4C8" w:rsidR="000E20D8" w:rsidRPr="002C7F14" w:rsidRDefault="000E20D8" w:rsidP="000E20D8">
            <w:pPr>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라벨링된</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값</w:t>
            </w:r>
          </w:p>
        </w:tc>
      </w:tr>
      <w:tr w:rsidR="000E20D8" w:rsidRPr="002C7F14" w14:paraId="0D2347C7" w14:textId="77777777" w:rsidTr="00B46D35">
        <w:trPr>
          <w:trHeight w:val="364"/>
        </w:trPr>
        <w:tc>
          <w:tcPr>
            <w:tcW w:w="2602" w:type="dxa"/>
          </w:tcPr>
          <w:p w14:paraId="5B32FD8E" w14:textId="051976FC"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60-80</w:t>
            </w:r>
          </w:p>
        </w:tc>
        <w:tc>
          <w:tcPr>
            <w:tcW w:w="2602" w:type="dxa"/>
            <w:vAlign w:val="center"/>
          </w:tcPr>
          <w:p w14:paraId="4E361DD5" w14:textId="3CF64B6F"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60+</w:t>
            </w:r>
          </w:p>
        </w:tc>
      </w:tr>
      <w:tr w:rsidR="000E20D8" w:rsidRPr="002C7F14" w14:paraId="297E9142" w14:textId="77777777" w:rsidTr="00B46D35">
        <w:trPr>
          <w:trHeight w:val="364"/>
        </w:trPr>
        <w:tc>
          <w:tcPr>
            <w:tcW w:w="2602" w:type="dxa"/>
          </w:tcPr>
          <w:p w14:paraId="1D855724" w14:textId="4FB8A968"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50-59</w:t>
            </w:r>
          </w:p>
        </w:tc>
        <w:tc>
          <w:tcPr>
            <w:tcW w:w="2602" w:type="dxa"/>
            <w:vAlign w:val="center"/>
          </w:tcPr>
          <w:p w14:paraId="1F6CBC3F" w14:textId="7A47CA94"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50</w:t>
            </w:r>
          </w:p>
        </w:tc>
      </w:tr>
      <w:tr w:rsidR="000E20D8" w:rsidRPr="002C7F14" w14:paraId="0DF29E6F" w14:textId="77777777" w:rsidTr="00B46D35">
        <w:trPr>
          <w:trHeight w:val="364"/>
        </w:trPr>
        <w:tc>
          <w:tcPr>
            <w:tcW w:w="2602" w:type="dxa"/>
          </w:tcPr>
          <w:p w14:paraId="779758AE" w14:textId="3432E137"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40-49</w:t>
            </w:r>
          </w:p>
        </w:tc>
        <w:tc>
          <w:tcPr>
            <w:tcW w:w="2602" w:type="dxa"/>
            <w:vAlign w:val="center"/>
          </w:tcPr>
          <w:p w14:paraId="043204E6" w14:textId="1EF6BA4C"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40</w:t>
            </w:r>
          </w:p>
        </w:tc>
      </w:tr>
      <w:tr w:rsidR="000E20D8" w:rsidRPr="002C7F14" w14:paraId="015E1523" w14:textId="77777777" w:rsidTr="00B46D35">
        <w:trPr>
          <w:trHeight w:val="364"/>
        </w:trPr>
        <w:tc>
          <w:tcPr>
            <w:tcW w:w="2602" w:type="dxa"/>
          </w:tcPr>
          <w:p w14:paraId="2FB4C89D" w14:textId="7A55BBBD"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30-39</w:t>
            </w:r>
          </w:p>
        </w:tc>
        <w:tc>
          <w:tcPr>
            <w:tcW w:w="2602" w:type="dxa"/>
            <w:vAlign w:val="center"/>
          </w:tcPr>
          <w:p w14:paraId="45810308" w14:textId="46104276"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30</w:t>
            </w:r>
          </w:p>
        </w:tc>
      </w:tr>
      <w:tr w:rsidR="000E20D8" w:rsidRPr="002C7F14" w14:paraId="503D1A4B" w14:textId="77777777" w:rsidTr="00B46D35">
        <w:trPr>
          <w:trHeight w:val="364"/>
        </w:trPr>
        <w:tc>
          <w:tcPr>
            <w:tcW w:w="2602" w:type="dxa"/>
          </w:tcPr>
          <w:p w14:paraId="115DA148" w14:textId="78D28BFF"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25-29</w:t>
            </w:r>
          </w:p>
        </w:tc>
        <w:tc>
          <w:tcPr>
            <w:tcW w:w="2602" w:type="dxa"/>
            <w:vAlign w:val="center"/>
          </w:tcPr>
          <w:p w14:paraId="5000F829" w14:textId="40519B64"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25</w:t>
            </w:r>
          </w:p>
        </w:tc>
      </w:tr>
      <w:tr w:rsidR="000E20D8" w:rsidRPr="002C7F14" w14:paraId="41E1A3D9" w14:textId="77777777" w:rsidTr="00B46D35">
        <w:trPr>
          <w:trHeight w:val="364"/>
        </w:trPr>
        <w:tc>
          <w:tcPr>
            <w:tcW w:w="2602" w:type="dxa"/>
          </w:tcPr>
          <w:p w14:paraId="532685DD" w14:textId="15C31895"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20-24</w:t>
            </w:r>
          </w:p>
        </w:tc>
        <w:tc>
          <w:tcPr>
            <w:tcW w:w="2602" w:type="dxa"/>
            <w:vAlign w:val="center"/>
          </w:tcPr>
          <w:p w14:paraId="07EA483B" w14:textId="7892CA04"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20</w:t>
            </w:r>
          </w:p>
        </w:tc>
      </w:tr>
      <w:tr w:rsidR="000E20D8" w:rsidRPr="002C7F14" w14:paraId="3E7BC965" w14:textId="77777777" w:rsidTr="00B46D35">
        <w:trPr>
          <w:trHeight w:val="364"/>
        </w:trPr>
        <w:tc>
          <w:tcPr>
            <w:tcW w:w="2602" w:type="dxa"/>
          </w:tcPr>
          <w:p w14:paraId="0857A051" w14:textId="325CFD01"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15-19</w:t>
            </w:r>
          </w:p>
        </w:tc>
        <w:tc>
          <w:tcPr>
            <w:tcW w:w="2602" w:type="dxa"/>
            <w:vAlign w:val="center"/>
          </w:tcPr>
          <w:p w14:paraId="24ADE6CB" w14:textId="3462EB74" w:rsidR="000E20D8" w:rsidRPr="002C7F14" w:rsidRDefault="000E20D8" w:rsidP="000E20D8">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15</w:t>
            </w:r>
          </w:p>
        </w:tc>
      </w:tr>
      <w:tr w:rsidR="000E20D8" w:rsidRPr="002C7F14" w14:paraId="08BD2BC2" w14:textId="77777777" w:rsidTr="00B46D35">
        <w:trPr>
          <w:trHeight w:val="364"/>
        </w:trPr>
        <w:tc>
          <w:tcPr>
            <w:tcW w:w="2602" w:type="dxa"/>
          </w:tcPr>
          <w:p w14:paraId="4F8B8ABD" w14:textId="51EF7DAF"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2-14</w:t>
            </w:r>
          </w:p>
        </w:tc>
        <w:tc>
          <w:tcPr>
            <w:tcW w:w="2602" w:type="dxa"/>
          </w:tcPr>
          <w:p w14:paraId="37566714" w14:textId="6BB5736B" w:rsidR="000E20D8" w:rsidRPr="002C7F14" w:rsidRDefault="000E20D8" w:rsidP="000E20D8">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결정된</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값</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삽입</w:t>
            </w:r>
            <w:r w:rsidRPr="002C7F14">
              <w:rPr>
                <w:rFonts w:asciiTheme="minorEastAsia" w:eastAsiaTheme="minorEastAsia" w:hAnsiTheme="minorEastAsia"/>
                <w:sz w:val="20"/>
                <w:szCs w:val="20"/>
                <w:lang w:eastAsia="ko-KR"/>
              </w:rPr>
              <w:t>]</w:t>
            </w:r>
          </w:p>
        </w:tc>
      </w:tr>
    </w:tbl>
    <w:p w14:paraId="64989D07" w14:textId="4DCCF680"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3E0EEE2A" w14:textId="77777777" w:rsidR="000E20D8" w:rsidRPr="002C7F14" w:rsidRDefault="000E20D8" w:rsidP="00DF70D1">
      <w:pPr>
        <w:pStyle w:val="a8"/>
        <w:numPr>
          <w:ilvl w:val="0"/>
          <w:numId w:val="48"/>
        </w:numPr>
        <w:tabs>
          <w:tab w:val="left" w:pos="1276"/>
        </w:tabs>
        <w:spacing w:line="264" w:lineRule="auto"/>
        <w:ind w:leftChars="0" w:left="851"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못한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M020.50(a)</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속한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범위의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삽입함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5DD39B05" w14:textId="77777777" w:rsidR="000E20D8" w:rsidRPr="002C7F14" w:rsidRDefault="000E20D8" w:rsidP="00C74C5C">
      <w:pPr>
        <w:tabs>
          <w:tab w:val="left" w:pos="1276"/>
        </w:tabs>
        <w:spacing w:line="264" w:lineRule="auto"/>
        <w:jc w:val="both"/>
        <w:rPr>
          <w:rFonts w:asciiTheme="minorEastAsia" w:eastAsiaTheme="minorEastAsia" w:hAnsiTheme="minorEastAsia" w:cs="맑은 고딕"/>
          <w:sz w:val="20"/>
          <w:szCs w:val="20"/>
          <w:lang w:eastAsia="ko-KR"/>
        </w:rPr>
      </w:pPr>
    </w:p>
    <w:p w14:paraId="00DB5E9E" w14:textId="29FDD467" w:rsidR="000E20D8" w:rsidRPr="002C7F14" w:rsidRDefault="000E20D8" w:rsidP="00DF70D1">
      <w:pPr>
        <w:pStyle w:val="a8"/>
        <w:numPr>
          <w:ilvl w:val="0"/>
          <w:numId w:val="48"/>
        </w:numPr>
        <w:tabs>
          <w:tab w:val="left" w:pos="1276"/>
        </w:tabs>
        <w:spacing w:line="264" w:lineRule="auto"/>
        <w:ind w:leftChars="0" w:left="851"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2 </w:t>
      </w:r>
      <w:r w:rsidRPr="002C7F14">
        <w:rPr>
          <w:rFonts w:asciiTheme="minorEastAsia" w:eastAsiaTheme="minorEastAsia" w:hAnsiTheme="minorEastAsia" w:cs="맑은 고딕" w:hint="eastAsia"/>
          <w:sz w:val="20"/>
          <w:szCs w:val="20"/>
          <w:lang w:eastAsia="ko-KR"/>
        </w:rPr>
        <w:t>이상</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미만인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뒤에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별표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붙이고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하단</w:t>
      </w:r>
      <w:r w:rsidRPr="002C7F14">
        <w:rPr>
          <w:rFonts w:asciiTheme="minorEastAsia" w:eastAsiaTheme="minorEastAsia" w:hAnsiTheme="minorEastAsia" w:cs="맑은 고딕"/>
          <w:sz w:val="20"/>
          <w:szCs w:val="20"/>
          <w:lang w:eastAsia="ko-KR"/>
        </w:rPr>
        <w:t xml:space="preserve"> 30%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표시한다</w:t>
      </w:r>
      <w:r w:rsidRPr="002C7F14">
        <w:rPr>
          <w:rFonts w:asciiTheme="minorEastAsia" w:eastAsiaTheme="minorEastAsia" w:hAnsiTheme="minorEastAsia" w:cs="맑은 고딕"/>
          <w:sz w:val="20"/>
          <w:szCs w:val="20"/>
          <w:lang w:eastAsia="ko-KR"/>
        </w:rPr>
        <w:t xml:space="preserve">. </w:t>
      </w:r>
    </w:p>
    <w:p w14:paraId="09CA380E" w14:textId="77777777" w:rsidR="00C74C5C" w:rsidRPr="002C7F14" w:rsidRDefault="00C74C5C" w:rsidP="00C74C5C">
      <w:pPr>
        <w:tabs>
          <w:tab w:val="left" w:pos="1276"/>
        </w:tabs>
        <w:spacing w:line="264" w:lineRule="auto"/>
        <w:jc w:val="both"/>
        <w:rPr>
          <w:rFonts w:asciiTheme="minorEastAsia" w:eastAsiaTheme="minorEastAsia" w:hAnsiTheme="minorEastAsia" w:cs="맑은 고딕"/>
          <w:sz w:val="20"/>
          <w:szCs w:val="20"/>
          <w:lang w:eastAsia="ko-KR"/>
        </w:rPr>
      </w:pPr>
    </w:p>
    <w:p w14:paraId="7AC97AE2" w14:textId="77777777" w:rsidR="000E20D8" w:rsidRPr="002C7F14" w:rsidRDefault="000E20D8" w:rsidP="00DF70D1">
      <w:pPr>
        <w:pStyle w:val="a8"/>
        <w:numPr>
          <w:ilvl w:val="0"/>
          <w:numId w:val="48"/>
        </w:numPr>
        <w:tabs>
          <w:tab w:val="left" w:pos="1276"/>
        </w:tabs>
        <w:spacing w:line="264" w:lineRule="auto"/>
        <w:ind w:leftChars="0" w:left="851"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필수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현저성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인쇄물의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1/4 </w:t>
      </w:r>
      <w:r w:rsidRPr="002C7F14">
        <w:rPr>
          <w:rFonts w:asciiTheme="minorEastAsia" w:eastAsiaTheme="minorEastAsia" w:hAnsiTheme="minorEastAsia" w:cs="맑은 고딕" w:hint="eastAsia"/>
          <w:sz w:val="20"/>
          <w:szCs w:val="20"/>
          <w:lang w:eastAsia="ko-KR"/>
        </w:rPr>
        <w:t>크기의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포장이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놓이는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바닥과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평행이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문구의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배경색을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색상으로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그래픽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연속된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배경색을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색상으로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그래픽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연속된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E7C25BE" w14:textId="77777777" w:rsidR="000E20D8" w:rsidRPr="002C7F14" w:rsidRDefault="000E20D8" w:rsidP="00C74C5C">
      <w:pPr>
        <w:spacing w:line="264" w:lineRule="auto"/>
        <w:jc w:val="both"/>
        <w:rPr>
          <w:rFonts w:asciiTheme="minorEastAsia" w:eastAsiaTheme="minorEastAsia" w:hAnsiTheme="minorEastAsia" w:cs="맑은 고딕"/>
          <w:sz w:val="20"/>
          <w:szCs w:val="20"/>
          <w:lang w:eastAsia="ko-KR"/>
        </w:rPr>
      </w:pPr>
    </w:p>
    <w:p w14:paraId="1BC0AFC9" w14:textId="77777777" w:rsidR="000E20D8" w:rsidRPr="002C7F14" w:rsidRDefault="000E20D8" w:rsidP="00DF70D1">
      <w:pPr>
        <w:pStyle w:val="a8"/>
        <w:numPr>
          <w:ilvl w:val="0"/>
          <w:numId w:val="46"/>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w:t>
      </w:r>
    </w:p>
    <w:p w14:paraId="4A24699E" w14:textId="77777777" w:rsidR="000E20D8" w:rsidRPr="002C7F14" w:rsidRDefault="000E20D8" w:rsidP="00C74C5C">
      <w:pPr>
        <w:spacing w:line="264" w:lineRule="auto"/>
        <w:jc w:val="both"/>
        <w:rPr>
          <w:rFonts w:asciiTheme="minorEastAsia" w:eastAsiaTheme="minorEastAsia" w:hAnsiTheme="minorEastAsia" w:cs="맑은 고딕"/>
          <w:sz w:val="20"/>
          <w:szCs w:val="20"/>
          <w:lang w:eastAsia="ko-KR"/>
        </w:rPr>
      </w:pPr>
    </w:p>
    <w:p w14:paraId="71F4A3B1" w14:textId="77777777" w:rsidR="000E20D8" w:rsidRPr="002C7F14" w:rsidRDefault="000E20D8" w:rsidP="00DF70D1">
      <w:pPr>
        <w:pStyle w:val="a8"/>
        <w:numPr>
          <w:ilvl w:val="0"/>
          <w:numId w:val="49"/>
        </w:numPr>
        <w:tabs>
          <w:tab w:val="left" w:pos="1134"/>
        </w:tabs>
        <w:spacing w:line="264" w:lineRule="auto"/>
        <w:ind w:leftChars="0" w:left="709" w:firstLine="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M020.80(h)(1)</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40</w:t>
      </w:r>
      <w:r w:rsidRPr="002C7F14">
        <w:rPr>
          <w:rFonts w:asciiTheme="minorEastAsia" w:eastAsiaTheme="minorEastAsia" w:hAnsiTheme="minorEastAsia" w:cs="맑은 고딕" w:hint="eastAsia"/>
          <w:sz w:val="20"/>
          <w:szCs w:val="20"/>
          <w:lang w:eastAsia="ko-KR"/>
        </w:rPr>
        <w:t>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(40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5138C093" w14:textId="77777777" w:rsidR="000E20D8" w:rsidRPr="002C7F14" w:rsidRDefault="000E20D8" w:rsidP="00C74C5C">
      <w:pPr>
        <w:tabs>
          <w:tab w:val="left" w:pos="1134"/>
        </w:tabs>
        <w:spacing w:line="264" w:lineRule="auto"/>
        <w:jc w:val="both"/>
        <w:rPr>
          <w:rFonts w:asciiTheme="minorEastAsia" w:eastAsiaTheme="minorEastAsia" w:hAnsiTheme="minorEastAsia" w:cs="맑은 고딕"/>
          <w:sz w:val="20"/>
          <w:szCs w:val="20"/>
          <w:lang w:eastAsia="ko-KR"/>
        </w:rPr>
      </w:pPr>
    </w:p>
    <w:p w14:paraId="0940AA3D" w14:textId="77777777" w:rsidR="000E20D8" w:rsidRPr="002C7F14" w:rsidRDefault="000E20D8" w:rsidP="00DF70D1">
      <w:pPr>
        <w:pStyle w:val="a8"/>
        <w:numPr>
          <w:ilvl w:val="0"/>
          <w:numId w:val="49"/>
        </w:numPr>
        <w:tabs>
          <w:tab w:val="left" w:pos="1134"/>
        </w:tabs>
        <w:spacing w:line="264" w:lineRule="auto"/>
        <w:ind w:leftChars="0" w:left="709" w:firstLine="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M020.80(h)(2)</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80</w:t>
      </w:r>
      <w:r w:rsidRPr="002C7F14">
        <w:rPr>
          <w:rFonts w:asciiTheme="minorEastAsia" w:eastAsiaTheme="minorEastAsia" w:hAnsiTheme="minorEastAsia" w:cs="맑은 고딕" w:hint="eastAsia"/>
          <w:sz w:val="20"/>
          <w:szCs w:val="20"/>
          <w:lang w:eastAsia="ko-KR"/>
        </w:rPr>
        <w:t>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(80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10CF89AE" w14:textId="77777777" w:rsidR="000E20D8" w:rsidRPr="002C7F14" w:rsidRDefault="000E20D8" w:rsidP="00C74C5C">
      <w:pPr>
        <w:tabs>
          <w:tab w:val="left" w:pos="1134"/>
        </w:tabs>
        <w:spacing w:line="264" w:lineRule="auto"/>
        <w:jc w:val="both"/>
        <w:rPr>
          <w:rFonts w:asciiTheme="minorEastAsia" w:eastAsiaTheme="minorEastAsia" w:hAnsiTheme="minorEastAsia" w:cs="맑은 고딕"/>
          <w:sz w:val="20"/>
          <w:szCs w:val="20"/>
          <w:lang w:eastAsia="ko-KR"/>
        </w:rPr>
      </w:pPr>
    </w:p>
    <w:p w14:paraId="4B1967FD" w14:textId="04E18F70" w:rsidR="00B07B6F" w:rsidRPr="002C7F14" w:rsidRDefault="000E20D8" w:rsidP="00DF70D1">
      <w:pPr>
        <w:pStyle w:val="a8"/>
        <w:numPr>
          <w:ilvl w:val="0"/>
          <w:numId w:val="49"/>
        </w:numPr>
        <w:tabs>
          <w:tab w:val="left" w:pos="1134"/>
        </w:tabs>
        <w:spacing w:line="264" w:lineRule="auto"/>
        <w:ind w:leftChars="0" w:left="709" w:firstLine="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현저성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인쇄물의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1/4 </w:t>
      </w:r>
      <w:r w:rsidRPr="002C7F14">
        <w:rPr>
          <w:rFonts w:asciiTheme="minorEastAsia" w:eastAsiaTheme="minorEastAsia" w:hAnsiTheme="minorEastAsia" w:cs="맑은 고딕" w:hint="eastAsia"/>
          <w:sz w:val="20"/>
          <w:szCs w:val="20"/>
          <w:lang w:eastAsia="ko-KR"/>
        </w:rPr>
        <w:t>크기의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포장이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놓이는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바닥과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평행이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배경색을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색상으로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그래픽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연속된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텍스트로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54A3BC8" w14:textId="5BE417C2" w:rsidR="00B07B6F" w:rsidRPr="002C7F14" w:rsidRDefault="00B07B6F" w:rsidP="00EF791F">
      <w:pPr>
        <w:spacing w:line="264" w:lineRule="auto"/>
        <w:jc w:val="both"/>
        <w:rPr>
          <w:rFonts w:asciiTheme="minorEastAsia" w:eastAsiaTheme="minorEastAsia" w:hAnsiTheme="minorEastAsia" w:cs="맑은 고딕"/>
          <w:sz w:val="20"/>
          <w:szCs w:val="20"/>
          <w:lang w:eastAsia="ko-KR"/>
        </w:rPr>
      </w:pPr>
    </w:p>
    <w:p w14:paraId="2EFCE4EF" w14:textId="77777777" w:rsidR="00402BCD" w:rsidRPr="002C7F14" w:rsidRDefault="00402BCD" w:rsidP="00402BCD">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M020.52 </w:t>
      </w:r>
      <w:r w:rsidRPr="002C7F14">
        <w:rPr>
          <w:rFonts w:asciiTheme="minorEastAsia" w:eastAsiaTheme="minorEastAsia" w:hAnsiTheme="minorEastAsia" w:cs="맑은 고딕" w:hint="eastAsia"/>
          <w:b/>
          <w:sz w:val="20"/>
          <w:szCs w:val="20"/>
          <w:lang w:eastAsia="ko-KR"/>
        </w:rPr>
        <w:t>하나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이상의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자외선차단제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활성성분을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함유한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제품의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라벨링</w:t>
      </w:r>
    </w:p>
    <w:p w14:paraId="36E76C4F"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6732D11D" w14:textId="77777777" w:rsidR="00402BCD" w:rsidRPr="002C7F14" w:rsidRDefault="00402BCD" w:rsidP="00DF70D1">
      <w:pPr>
        <w:pStyle w:val="a8"/>
        <w:numPr>
          <w:ilvl w:val="0"/>
          <w:numId w:val="5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확립된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진실되고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소지가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330.1(c)(2)</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p>
    <w:p w14:paraId="238D2B24"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79BCC33D" w14:textId="78514DBC" w:rsidR="00402BCD" w:rsidRPr="002C7F14" w:rsidRDefault="00402BCD" w:rsidP="00DF70D1">
      <w:pPr>
        <w:pStyle w:val="a8"/>
        <w:numPr>
          <w:ilvl w:val="0"/>
          <w:numId w:val="5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포함시켜야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w:t>
      </w:r>
      <w:r w:rsidRPr="002C7F14">
        <w:rPr>
          <w:rStyle w:val="a7"/>
          <w:rFonts w:asciiTheme="minorEastAsia" w:eastAsiaTheme="minorEastAsia" w:hAnsiTheme="minorEastAsia" w:cs="맑은 고딕"/>
          <w:sz w:val="20"/>
          <w:szCs w:val="20"/>
          <w:lang w:eastAsia="ko-KR"/>
        </w:rPr>
        <w:footnoteReference w:id="74"/>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일광화상을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방지하는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도움이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됩니다</w:t>
      </w:r>
      <w:r w:rsidRPr="002C7F14">
        <w:rPr>
          <w:rFonts w:asciiTheme="minorEastAsia" w:eastAsiaTheme="minorEastAsia" w:hAnsiTheme="minorEastAsia" w:cs="맑은 고딕"/>
          <w:sz w:val="20"/>
          <w:szCs w:val="20"/>
          <w:lang w:eastAsia="ko-KR"/>
        </w:rPr>
        <w:t>."</w:t>
      </w:r>
    </w:p>
    <w:p w14:paraId="599B0015" w14:textId="77777777" w:rsidR="00402BCD" w:rsidRPr="002C7F14" w:rsidRDefault="00402BCD" w:rsidP="00DF70D1">
      <w:pPr>
        <w:pStyle w:val="a8"/>
        <w:numPr>
          <w:ilvl w:val="0"/>
          <w:numId w:val="5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이상인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입증된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M020.52(a)(1)</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외에도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조치와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기울임꼴로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감소합니다</w:t>
      </w:r>
      <w:r w:rsidRPr="002C7F14">
        <w:rPr>
          <w:rFonts w:asciiTheme="minorEastAsia" w:eastAsiaTheme="minorEastAsia" w:hAnsiTheme="minorEastAsia" w:cs="맑은 고딕"/>
          <w:sz w:val="20"/>
          <w:szCs w:val="20"/>
          <w:lang w:eastAsia="ko-KR"/>
        </w:rPr>
        <w:t>."</w:t>
      </w:r>
    </w:p>
    <w:p w14:paraId="2A5F0876" w14:textId="77777777" w:rsidR="00402BCD" w:rsidRPr="002C7F14" w:rsidRDefault="00402BCD" w:rsidP="00DF70D1">
      <w:pPr>
        <w:pStyle w:val="a8"/>
        <w:numPr>
          <w:ilvl w:val="0"/>
          <w:numId w:val="5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자료는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사용해도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감소하거나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방지한다고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암시해서는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된다</w:t>
      </w:r>
      <w:r w:rsidRPr="002C7F14">
        <w:rPr>
          <w:rFonts w:asciiTheme="minorEastAsia" w:eastAsiaTheme="minorEastAsia" w:hAnsiTheme="minorEastAsia" w:cs="맑은 고딕"/>
          <w:sz w:val="20"/>
          <w:szCs w:val="20"/>
          <w:lang w:eastAsia="ko-KR"/>
        </w:rPr>
        <w:t>.</w:t>
      </w:r>
    </w:p>
    <w:p w14:paraId="1AD460C0"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60905CF8" w14:textId="77777777" w:rsidR="00402BCD" w:rsidRPr="002C7F14" w:rsidRDefault="00402BCD" w:rsidP="00DF70D1">
      <w:pPr>
        <w:pStyle w:val="a8"/>
        <w:numPr>
          <w:ilvl w:val="0"/>
          <w:numId w:val="5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포함한다</w:t>
      </w:r>
      <w:r w:rsidRPr="002C7F14">
        <w:rPr>
          <w:rFonts w:asciiTheme="minorEastAsia" w:eastAsiaTheme="minorEastAsia" w:hAnsiTheme="minorEastAsia" w:cs="맑은 고딕"/>
          <w:sz w:val="20"/>
          <w:szCs w:val="20"/>
          <w:lang w:eastAsia="ko-KR"/>
        </w:rPr>
        <w:t>.</w:t>
      </w:r>
    </w:p>
    <w:p w14:paraId="1D4B9147"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77111BF1" w14:textId="77777777" w:rsidR="00402BCD" w:rsidRPr="002C7F14" w:rsidRDefault="00402BCD" w:rsidP="00DF70D1">
      <w:pPr>
        <w:pStyle w:val="a8"/>
        <w:numPr>
          <w:ilvl w:val="0"/>
          <w:numId w:val="52"/>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w:t>
      </w:r>
    </w:p>
    <w:p w14:paraId="6669F3DF"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09BD8DA7" w14:textId="77777777" w:rsidR="00402BCD" w:rsidRPr="002C7F14" w:rsidRDefault="00402BCD" w:rsidP="00DF70D1">
      <w:pPr>
        <w:pStyle w:val="a8"/>
        <w:numPr>
          <w:ilvl w:val="0"/>
          <w:numId w:val="53"/>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손상된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찢긴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마십시오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47EFF8C3" w14:textId="77777777" w:rsidR="00402BCD" w:rsidRPr="002C7F14" w:rsidRDefault="00402BCD" w:rsidP="00DF70D1">
      <w:pPr>
        <w:pStyle w:val="a8"/>
        <w:numPr>
          <w:ilvl w:val="0"/>
          <w:numId w:val="53"/>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들어가지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주의하십시오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헹구어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제거하십시오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5C273A6A" w14:textId="77777777" w:rsidR="00402BCD" w:rsidRPr="002C7F14" w:rsidRDefault="00402BCD" w:rsidP="00DF70D1">
      <w:pPr>
        <w:pStyle w:val="a8"/>
        <w:numPr>
          <w:ilvl w:val="0"/>
          <w:numId w:val="53"/>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발진이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생긴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중단하고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의사에게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문의하십시오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67F8CBB9"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4EAC6288" w14:textId="77777777" w:rsidR="00402BCD" w:rsidRPr="002C7F14" w:rsidRDefault="00402BCD" w:rsidP="00DF70D1">
      <w:pPr>
        <w:pStyle w:val="a8"/>
        <w:numPr>
          <w:ilvl w:val="0"/>
          <w:numId w:val="52"/>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2 </w:t>
      </w:r>
      <w:r w:rsidRPr="002C7F14">
        <w:rPr>
          <w:rFonts w:asciiTheme="minorEastAsia" w:eastAsiaTheme="minorEastAsia" w:hAnsiTheme="minorEastAsia" w:cs="맑은 고딕" w:hint="eastAsia"/>
          <w:sz w:val="20"/>
          <w:szCs w:val="20"/>
          <w:lang w:eastAsia="ko-KR"/>
        </w:rPr>
        <w:t>이상</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미만인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못한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첫</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번째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보내면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증가합니다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아니라</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일광화상을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예방하는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도움이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입증되었습니다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464CCB94" w14:textId="77777777" w:rsidR="00402BCD" w:rsidRPr="002C7F14" w:rsidRDefault="00402BCD" w:rsidP="00402BCD">
      <w:pPr>
        <w:spacing w:line="264" w:lineRule="auto"/>
        <w:jc w:val="both"/>
        <w:rPr>
          <w:rFonts w:asciiTheme="minorEastAsia" w:eastAsiaTheme="minorEastAsia" w:hAnsiTheme="minorEastAsia" w:cs="맑은 고딕"/>
          <w:sz w:val="20"/>
          <w:szCs w:val="20"/>
          <w:lang w:eastAsia="ko-KR"/>
        </w:rPr>
      </w:pPr>
    </w:p>
    <w:p w14:paraId="58705ED8" w14:textId="16F12A85" w:rsidR="00B07B6F" w:rsidRPr="002C7F14" w:rsidRDefault="00402BCD" w:rsidP="00DF70D1">
      <w:pPr>
        <w:pStyle w:val="a8"/>
        <w:numPr>
          <w:ilvl w:val="0"/>
          <w:numId w:val="52"/>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51</w:t>
      </w:r>
      <w:r w:rsidRPr="002C7F14">
        <w:rPr>
          <w:rFonts w:asciiTheme="minorEastAsia" w:eastAsiaTheme="minorEastAsia" w:hAnsiTheme="minorEastAsia" w:cs="맑은 고딕" w:hint="eastAsia"/>
          <w:sz w:val="20"/>
          <w:szCs w:val="20"/>
          <w:lang w:eastAsia="ko-KR"/>
        </w:rPr>
        <w:t>권</w:t>
      </w:r>
      <w:r w:rsidRPr="002C7F14">
        <w:rPr>
          <w:rFonts w:asciiTheme="minorEastAsia" w:eastAsiaTheme="minorEastAsia" w:hAnsiTheme="minorEastAsia" w:cs="맑은 고딕"/>
          <w:sz w:val="20"/>
          <w:szCs w:val="20"/>
          <w:lang w:eastAsia="ko-KR"/>
        </w:rPr>
        <w:t xml:space="preserve"> 28539 </w:t>
      </w:r>
      <w:r w:rsidRPr="002C7F14">
        <w:rPr>
          <w:rFonts w:asciiTheme="minorEastAsia" w:eastAsiaTheme="minorEastAsia" w:hAnsiTheme="minorEastAsia" w:cs="맑은 고딕" w:hint="eastAsia"/>
          <w:sz w:val="20"/>
          <w:szCs w:val="20"/>
          <w:lang w:eastAsia="ko-KR"/>
        </w:rPr>
        <w:t>페이지</w:t>
      </w:r>
      <w:r w:rsidRPr="002C7F14">
        <w:rPr>
          <w:rFonts w:asciiTheme="minorEastAsia" w:eastAsiaTheme="minorEastAsia" w:hAnsiTheme="minorEastAsia" w:cs="맑은 고딕"/>
          <w:sz w:val="20"/>
          <w:szCs w:val="20"/>
          <w:lang w:eastAsia="ko-KR"/>
        </w:rPr>
        <w:t>(1986</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월</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일</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16</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1500.43a</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(f)</w:t>
      </w:r>
      <w:r w:rsidRPr="002C7F14">
        <w:rPr>
          <w:rFonts w:asciiTheme="minorEastAsia" w:eastAsiaTheme="minorEastAsia" w:hAnsiTheme="minorEastAsia" w:cs="맑은 고딕" w:hint="eastAsia"/>
          <w:sz w:val="20"/>
          <w:szCs w:val="20"/>
          <w:lang w:eastAsia="ko-KR"/>
        </w:rPr>
        <w:t>에 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가연성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스프레이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w:t>
      </w:r>
    </w:p>
    <w:p w14:paraId="1DC57B12" w14:textId="3C0F22E1" w:rsidR="00C74C5C" w:rsidRPr="002C7F14" w:rsidRDefault="00C74C5C" w:rsidP="00EF791F">
      <w:pPr>
        <w:spacing w:line="264" w:lineRule="auto"/>
        <w:jc w:val="both"/>
        <w:rPr>
          <w:rFonts w:asciiTheme="minorEastAsia" w:eastAsiaTheme="minorEastAsia" w:hAnsiTheme="minorEastAsia" w:cs="맑은 고딕"/>
          <w:sz w:val="20"/>
          <w:szCs w:val="20"/>
          <w:lang w:eastAsia="ko-KR"/>
        </w:rPr>
      </w:pPr>
    </w:p>
    <w:p w14:paraId="7BD0C41A" w14:textId="77777777" w:rsidR="00335522" w:rsidRPr="002C7F14" w:rsidRDefault="00335522" w:rsidP="00300A7A">
      <w:pPr>
        <w:pStyle w:val="a8"/>
        <w:numPr>
          <w:ilvl w:val="0"/>
          <w:numId w:val="5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가연성</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뒤에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콜론과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불이나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화염에서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두십시오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13002005" w14:textId="77777777" w:rsidR="00335522" w:rsidRPr="002C7F14" w:rsidRDefault="00335522" w:rsidP="00335522">
      <w:pPr>
        <w:tabs>
          <w:tab w:val="left" w:pos="1418"/>
        </w:tabs>
        <w:spacing w:line="264" w:lineRule="auto"/>
        <w:ind w:left="993"/>
        <w:jc w:val="both"/>
        <w:rPr>
          <w:rFonts w:asciiTheme="minorEastAsia" w:eastAsiaTheme="minorEastAsia" w:hAnsiTheme="minorEastAsia" w:cs="맑은 고딕"/>
          <w:sz w:val="20"/>
          <w:szCs w:val="20"/>
          <w:lang w:eastAsia="ko-KR"/>
        </w:rPr>
      </w:pPr>
    </w:p>
    <w:p w14:paraId="06D91BFD" w14:textId="77777777" w:rsidR="00335522" w:rsidRPr="002C7F14" w:rsidRDefault="00335522" w:rsidP="00300A7A">
      <w:pPr>
        <w:pStyle w:val="a8"/>
        <w:numPr>
          <w:ilvl w:val="0"/>
          <w:numId w:val="5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건조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시간이</w:t>
      </w:r>
      <w:r w:rsidRPr="002C7F14">
        <w:rPr>
          <w:rFonts w:asciiTheme="minorEastAsia" w:eastAsiaTheme="minorEastAsia" w:hAnsiTheme="minorEastAsia" w:cs="맑은 고딕"/>
          <w:sz w:val="20"/>
          <w:szCs w:val="20"/>
          <w:lang w:eastAsia="ko-KR"/>
        </w:rPr>
        <w:t xml:space="preserve"> 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미만인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화염원에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접근하거나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흡연하기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5</w:t>
      </w:r>
      <w:r w:rsidRPr="002C7F14">
        <w:rPr>
          <w:rFonts w:asciiTheme="minorEastAsia" w:eastAsiaTheme="minorEastAsia" w:hAnsiTheme="minorEastAsia" w:cs="맑은 고딕" w:hint="eastAsia"/>
          <w:sz w:val="20"/>
          <w:szCs w:val="20"/>
          <w:lang w:eastAsia="ko-KR"/>
        </w:rPr>
        <w:t>분간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기다리십시오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521366EA" w14:textId="77777777" w:rsidR="00335522" w:rsidRPr="002C7F14" w:rsidRDefault="00335522" w:rsidP="00335522">
      <w:pPr>
        <w:tabs>
          <w:tab w:val="left" w:pos="1418"/>
        </w:tabs>
        <w:spacing w:line="264" w:lineRule="auto"/>
        <w:ind w:left="993"/>
        <w:jc w:val="both"/>
        <w:rPr>
          <w:rFonts w:asciiTheme="minorEastAsia" w:eastAsiaTheme="minorEastAsia" w:hAnsiTheme="minorEastAsia" w:cs="맑은 고딕"/>
          <w:sz w:val="20"/>
          <w:szCs w:val="20"/>
          <w:lang w:eastAsia="ko-KR"/>
        </w:rPr>
      </w:pPr>
    </w:p>
    <w:p w14:paraId="4D600D14" w14:textId="77777777" w:rsidR="00335522" w:rsidRPr="002C7F14" w:rsidRDefault="00335522" w:rsidP="00300A7A">
      <w:pPr>
        <w:pStyle w:val="a8"/>
        <w:numPr>
          <w:ilvl w:val="0"/>
          <w:numId w:val="5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건조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미만인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화염원에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접근하거나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흡연하기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분간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기다리십시오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78E28B95" w14:textId="77777777" w:rsidR="00335522" w:rsidRPr="002C7F14" w:rsidRDefault="00335522" w:rsidP="00335522">
      <w:pPr>
        <w:spacing w:line="264" w:lineRule="auto"/>
        <w:jc w:val="both"/>
        <w:rPr>
          <w:rFonts w:asciiTheme="minorEastAsia" w:eastAsiaTheme="minorEastAsia" w:hAnsiTheme="minorEastAsia" w:cs="맑은 고딕"/>
          <w:sz w:val="20"/>
          <w:szCs w:val="20"/>
          <w:lang w:eastAsia="ko-KR"/>
        </w:rPr>
      </w:pPr>
    </w:p>
    <w:p w14:paraId="2611D2BC" w14:textId="77777777" w:rsidR="00335522" w:rsidRPr="002C7F14" w:rsidRDefault="00335522" w:rsidP="00335522">
      <w:pPr>
        <w:pStyle w:val="a8"/>
        <w:numPr>
          <w:ilvl w:val="0"/>
          <w:numId w:val="5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자세한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14CE36AA" w14:textId="77777777" w:rsidR="00335522" w:rsidRPr="002C7F14" w:rsidRDefault="00335522" w:rsidP="00335522">
      <w:pPr>
        <w:spacing w:line="264" w:lineRule="auto"/>
        <w:jc w:val="both"/>
        <w:rPr>
          <w:rFonts w:asciiTheme="minorEastAsia" w:eastAsiaTheme="minorEastAsia" w:hAnsiTheme="minorEastAsia" w:cs="맑은 고딕"/>
          <w:sz w:val="20"/>
          <w:szCs w:val="20"/>
          <w:lang w:eastAsia="ko-KR"/>
        </w:rPr>
      </w:pPr>
    </w:p>
    <w:p w14:paraId="4613CC5C" w14:textId="77777777" w:rsidR="00335522" w:rsidRPr="002C7F14" w:rsidRDefault="00335522" w:rsidP="00300A7A">
      <w:pPr>
        <w:pStyle w:val="a8"/>
        <w:numPr>
          <w:ilvl w:val="0"/>
          <w:numId w:val="55"/>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p>
    <w:p w14:paraId="0093AC88" w14:textId="77777777" w:rsidR="00335522" w:rsidRPr="002C7F14" w:rsidRDefault="00335522" w:rsidP="00335522">
      <w:pPr>
        <w:spacing w:line="264" w:lineRule="auto"/>
        <w:jc w:val="both"/>
        <w:rPr>
          <w:rFonts w:asciiTheme="minorEastAsia" w:eastAsiaTheme="minorEastAsia" w:hAnsiTheme="minorEastAsia" w:cs="맑은 고딕"/>
          <w:sz w:val="20"/>
          <w:szCs w:val="20"/>
          <w:lang w:eastAsia="ko-KR"/>
        </w:rPr>
      </w:pPr>
    </w:p>
    <w:p w14:paraId="3C4E9F58" w14:textId="77777777" w:rsidR="00335522" w:rsidRPr="002C7F14" w:rsidRDefault="00335522" w:rsidP="00300A7A">
      <w:pPr>
        <w:pStyle w:val="a8"/>
        <w:numPr>
          <w:ilvl w:val="0"/>
          <w:numId w:val="56"/>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선택적으로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차단용</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2F43C6D1" w14:textId="77777777" w:rsidR="00335522" w:rsidRPr="002C7F14" w:rsidRDefault="00335522" w:rsidP="00335522">
      <w:pPr>
        <w:tabs>
          <w:tab w:val="left" w:pos="1418"/>
        </w:tabs>
        <w:spacing w:line="264" w:lineRule="auto"/>
        <w:ind w:left="993"/>
        <w:jc w:val="both"/>
        <w:rPr>
          <w:rFonts w:asciiTheme="minorEastAsia" w:eastAsiaTheme="minorEastAsia" w:hAnsiTheme="minorEastAsia" w:cs="맑은 고딕"/>
          <w:sz w:val="20"/>
          <w:szCs w:val="20"/>
          <w:lang w:eastAsia="ko-KR"/>
        </w:rPr>
      </w:pPr>
    </w:p>
    <w:p w14:paraId="562F08AE" w14:textId="77777777" w:rsidR="00335522" w:rsidRPr="002C7F14" w:rsidRDefault="00335522" w:rsidP="00300A7A">
      <w:pPr>
        <w:pStyle w:val="a8"/>
        <w:numPr>
          <w:ilvl w:val="0"/>
          <w:numId w:val="56"/>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노출되기</w:t>
      </w:r>
      <w:r w:rsidRPr="002C7F14">
        <w:rPr>
          <w:rFonts w:asciiTheme="minorEastAsia" w:eastAsiaTheme="minorEastAsia" w:hAnsiTheme="minorEastAsia" w:cs="맑은 고딕"/>
          <w:sz w:val="20"/>
          <w:szCs w:val="20"/>
          <w:lang w:eastAsia="ko-KR"/>
        </w:rPr>
        <w:t xml:space="preserve"> 15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선택한다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넉넉히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충분히</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그리고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선택적으로</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고르게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바르십시오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p>
    <w:p w14:paraId="656CE35C" w14:textId="77777777" w:rsidR="00335522" w:rsidRPr="002C7F14" w:rsidRDefault="00335522" w:rsidP="00335522">
      <w:pPr>
        <w:tabs>
          <w:tab w:val="left" w:pos="1418"/>
        </w:tabs>
        <w:spacing w:line="264" w:lineRule="auto"/>
        <w:ind w:left="993"/>
        <w:jc w:val="both"/>
        <w:rPr>
          <w:rFonts w:asciiTheme="minorEastAsia" w:eastAsiaTheme="minorEastAsia" w:hAnsiTheme="minorEastAsia" w:cs="맑은 고딕"/>
          <w:sz w:val="20"/>
          <w:szCs w:val="20"/>
          <w:lang w:eastAsia="ko-KR"/>
        </w:rPr>
      </w:pPr>
    </w:p>
    <w:p w14:paraId="1D5B2CB2" w14:textId="77777777" w:rsidR="00335522" w:rsidRPr="002C7F14" w:rsidRDefault="00335522" w:rsidP="00300A7A">
      <w:pPr>
        <w:pStyle w:val="a8"/>
        <w:numPr>
          <w:ilvl w:val="0"/>
          <w:numId w:val="56"/>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선택적으로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바르십시오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4DCE6E32" w14:textId="77777777" w:rsidR="00335522" w:rsidRPr="002C7F14" w:rsidRDefault="00335522" w:rsidP="00335522">
      <w:pPr>
        <w:tabs>
          <w:tab w:val="left" w:pos="1418"/>
        </w:tabs>
        <w:spacing w:line="264" w:lineRule="auto"/>
        <w:ind w:left="993"/>
        <w:jc w:val="both"/>
        <w:rPr>
          <w:rFonts w:asciiTheme="minorEastAsia" w:eastAsiaTheme="minorEastAsia" w:hAnsiTheme="minorEastAsia" w:cs="맑은 고딕"/>
          <w:sz w:val="20"/>
          <w:szCs w:val="20"/>
          <w:lang w:eastAsia="ko-KR"/>
        </w:rPr>
      </w:pPr>
    </w:p>
    <w:p w14:paraId="03666396" w14:textId="77777777" w:rsidR="00335522" w:rsidRPr="002C7F14" w:rsidRDefault="00335522" w:rsidP="00300A7A">
      <w:pPr>
        <w:pStyle w:val="a8"/>
        <w:numPr>
          <w:ilvl w:val="0"/>
          <w:numId w:val="56"/>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6</w:t>
      </w:r>
      <w:r w:rsidRPr="002C7F14">
        <w:rPr>
          <w:rFonts w:asciiTheme="minorEastAsia" w:eastAsiaTheme="minorEastAsia" w:hAnsiTheme="minorEastAsia" w:cs="맑은 고딕" w:hint="eastAsia"/>
          <w:sz w:val="20"/>
          <w:szCs w:val="20"/>
          <w:lang w:eastAsia="ko-KR"/>
        </w:rPr>
        <w:t>개월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미만의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의사에게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문의하십시오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0A0728CB" w14:textId="77777777" w:rsidR="00335522" w:rsidRPr="002C7F14" w:rsidRDefault="00335522" w:rsidP="00335522">
      <w:pPr>
        <w:spacing w:line="264" w:lineRule="auto"/>
        <w:jc w:val="both"/>
        <w:rPr>
          <w:rFonts w:asciiTheme="minorEastAsia" w:eastAsiaTheme="minorEastAsia" w:hAnsiTheme="minorEastAsia" w:cs="맑은 고딕"/>
          <w:sz w:val="20"/>
          <w:szCs w:val="20"/>
          <w:lang w:eastAsia="ko-KR"/>
        </w:rPr>
      </w:pPr>
    </w:p>
    <w:p w14:paraId="4FB4A92B" w14:textId="77777777" w:rsidR="00335522" w:rsidRPr="002C7F14" w:rsidRDefault="00335522" w:rsidP="00300A7A">
      <w:pPr>
        <w:pStyle w:val="a8"/>
        <w:numPr>
          <w:ilvl w:val="0"/>
          <w:numId w:val="55"/>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입증되었고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이상인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조치</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굵은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보내면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증가합니다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줄이려면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이상인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정기적으로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취하십시오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오전</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오후</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보내는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제한하십시오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셔츠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선글라스를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착용하십시오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60CAC404" w14:textId="77777777" w:rsidR="00335522" w:rsidRPr="002C7F14" w:rsidRDefault="00335522" w:rsidP="003630A1">
      <w:pPr>
        <w:spacing w:line="264" w:lineRule="auto"/>
        <w:jc w:val="both"/>
        <w:rPr>
          <w:rFonts w:asciiTheme="minorEastAsia" w:eastAsiaTheme="minorEastAsia" w:hAnsiTheme="minorEastAsia" w:cs="맑은 고딕"/>
          <w:sz w:val="20"/>
          <w:szCs w:val="20"/>
          <w:lang w:eastAsia="ko-KR"/>
        </w:rPr>
      </w:pPr>
    </w:p>
    <w:p w14:paraId="2BB9D434" w14:textId="5DCEAEC9" w:rsidR="00C74C5C" w:rsidRPr="002C7F14" w:rsidRDefault="00335522" w:rsidP="00300A7A">
      <w:pPr>
        <w:pStyle w:val="a8"/>
        <w:numPr>
          <w:ilvl w:val="0"/>
          <w:numId w:val="55"/>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M020.80(h)</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땀을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흘린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선택한다</w:t>
      </w:r>
      <w:r w:rsidRPr="002C7F14">
        <w:rPr>
          <w:rFonts w:asciiTheme="minorEastAsia" w:eastAsiaTheme="minorEastAsia" w:hAnsiTheme="minorEastAsia" w:cs="맑은 고딕"/>
          <w:sz w:val="20"/>
          <w:szCs w:val="20"/>
          <w:lang w:eastAsia="ko-KR"/>
        </w:rPr>
        <w:t>. '40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'80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말린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시간마다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바르십시오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2F55BA31" w14:textId="06D4B63B" w:rsidR="00C74C5C" w:rsidRPr="002C7F14" w:rsidRDefault="00C74C5C" w:rsidP="00EF791F">
      <w:pPr>
        <w:spacing w:line="264" w:lineRule="auto"/>
        <w:jc w:val="both"/>
        <w:rPr>
          <w:rFonts w:asciiTheme="minorEastAsia" w:eastAsiaTheme="minorEastAsia" w:hAnsiTheme="minorEastAsia" w:cs="맑은 고딕"/>
          <w:sz w:val="20"/>
          <w:szCs w:val="20"/>
          <w:lang w:eastAsia="ko-KR"/>
        </w:rPr>
      </w:pPr>
    </w:p>
    <w:p w14:paraId="68F615BF" w14:textId="77777777" w:rsidR="003630A1" w:rsidRPr="002C7F14" w:rsidRDefault="003630A1" w:rsidP="00300A7A">
      <w:pPr>
        <w:pStyle w:val="a8"/>
        <w:numPr>
          <w:ilvl w:val="0"/>
          <w:numId w:val="55"/>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M020.80(h)</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시간마다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바르십시오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땀을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흘리는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43AD29BC"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6526F9F8" w14:textId="5397B1FA" w:rsidR="003630A1" w:rsidRPr="002C7F14" w:rsidRDefault="003630A1" w:rsidP="00300A7A">
      <w:pPr>
        <w:pStyle w:val="a8"/>
        <w:numPr>
          <w:ilvl w:val="0"/>
          <w:numId w:val="55"/>
        </w:numPr>
        <w:spacing w:line="264" w:lineRule="auto"/>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스프레이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피부에서</w:t>
      </w:r>
      <w:r w:rsidRPr="002C7F14">
        <w:rPr>
          <w:rFonts w:asciiTheme="minorEastAsia" w:eastAsiaTheme="minorEastAsia" w:hAnsiTheme="minorEastAsia" w:cs="맑은 고딕"/>
          <w:sz w:val="20"/>
          <w:szCs w:val="20"/>
          <w:lang w:eastAsia="ko-KR"/>
        </w:rPr>
        <w:t xml:space="preserve"> 4~6</w:t>
      </w:r>
      <w:r w:rsidRPr="002C7F14">
        <w:rPr>
          <w:rFonts w:asciiTheme="minorEastAsia" w:eastAsiaTheme="minorEastAsia" w:hAnsiTheme="minorEastAsia" w:cs="맑은 고딕" w:hint="eastAsia"/>
          <w:sz w:val="20"/>
          <w:szCs w:val="20"/>
          <w:lang w:eastAsia="ko-KR"/>
        </w:rPr>
        <w:t>인치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떨어진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곳에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위치시켜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적용하십시오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얼굴에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마십시오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뿌린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얼굴에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바르십시오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바람이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많이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날씨에는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바르지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마십시오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통풍이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곳에서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피하십시오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p>
    <w:p w14:paraId="235095C8"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658EE8B4" w14:textId="77777777" w:rsidR="003630A1" w:rsidRPr="002C7F14" w:rsidRDefault="003630A1" w:rsidP="003630A1">
      <w:pPr>
        <w:pStyle w:val="a8"/>
        <w:numPr>
          <w:ilvl w:val="0"/>
          <w:numId w:val="5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포함한다</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글머리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과도한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직사광선으로부터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보호하십시오</w:t>
      </w:r>
      <w:r w:rsidRPr="002C7F14">
        <w:rPr>
          <w:rFonts w:asciiTheme="minorEastAsia" w:eastAsiaTheme="minorEastAsia" w:hAnsiTheme="minorEastAsia" w:cs="맑은 고딕"/>
          <w:sz w:val="20"/>
          <w:szCs w:val="20"/>
          <w:lang w:eastAsia="ko-KR"/>
        </w:rPr>
        <w:t>."</w:t>
      </w:r>
    </w:p>
    <w:p w14:paraId="3682336F" w14:textId="77777777" w:rsidR="003630A1" w:rsidRPr="002C7F14" w:rsidRDefault="003630A1" w:rsidP="003630A1">
      <w:pPr>
        <w:pStyle w:val="a8"/>
        <w:tabs>
          <w:tab w:val="left" w:pos="426"/>
        </w:tabs>
        <w:spacing w:line="264" w:lineRule="auto"/>
        <w:ind w:leftChars="0" w:left="0"/>
        <w:jc w:val="both"/>
        <w:rPr>
          <w:rFonts w:asciiTheme="minorEastAsia" w:eastAsiaTheme="minorEastAsia" w:hAnsiTheme="minorEastAsia" w:cs="맑은 고딕"/>
          <w:sz w:val="20"/>
          <w:szCs w:val="20"/>
          <w:lang w:eastAsia="ko-KR"/>
        </w:rPr>
      </w:pPr>
    </w:p>
    <w:p w14:paraId="3BFBEE55" w14:textId="77777777" w:rsidR="003630A1" w:rsidRPr="002C7F14" w:rsidRDefault="003630A1" w:rsidP="003630A1">
      <w:pPr>
        <w:pStyle w:val="a8"/>
        <w:numPr>
          <w:ilvl w:val="0"/>
          <w:numId w:val="5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허위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소지가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선블록</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스웨트프루프</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워터프루프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소지가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포함해서는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된다</w:t>
      </w:r>
      <w:r w:rsidRPr="002C7F14">
        <w:rPr>
          <w:rFonts w:asciiTheme="minorEastAsia" w:eastAsiaTheme="minorEastAsia" w:hAnsiTheme="minorEastAsia" w:cs="맑은 고딕"/>
          <w:sz w:val="20"/>
          <w:szCs w:val="20"/>
          <w:lang w:eastAsia="ko-KR"/>
        </w:rPr>
        <w:t>.</w:t>
      </w:r>
    </w:p>
    <w:p w14:paraId="4AF317E2"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6AE80D3E" w14:textId="77777777" w:rsidR="003630A1" w:rsidRPr="002C7F14" w:rsidRDefault="003630A1" w:rsidP="003630A1">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M020.60 </w:t>
      </w:r>
      <w:r w:rsidRPr="002C7F14">
        <w:rPr>
          <w:rFonts w:asciiTheme="minorEastAsia" w:eastAsiaTheme="minorEastAsia" w:hAnsiTheme="minorEastAsia" w:cs="맑은 고딕" w:hint="eastAsia"/>
          <w:b/>
          <w:sz w:val="20"/>
          <w:szCs w:val="20"/>
          <w:lang w:eastAsia="ko-KR"/>
        </w:rPr>
        <w:t>자외선차단제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및</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피부보호제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활성성분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조합을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함유한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제품의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라벨링</w:t>
      </w:r>
    </w:p>
    <w:p w14:paraId="6351030D"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35EEE98F" w14:textId="77777777" w:rsidR="003630A1" w:rsidRPr="002C7F14" w:rsidRDefault="003630A1" w:rsidP="003630A1">
      <w:pPr>
        <w:pStyle w:val="a8"/>
        <w:tabs>
          <w:tab w:val="left" w:pos="426"/>
        </w:tabs>
        <w:spacing w:line="264" w:lineRule="auto"/>
        <w:ind w:leftChars="0" w:left="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중복되는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단어나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제거하여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명확하고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이해하기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쉬운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전달되도록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M016.50(e)</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2982D2A4"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1AD7A031" w14:textId="77777777" w:rsidR="003630A1" w:rsidRPr="002C7F14" w:rsidRDefault="003630A1" w:rsidP="00300A7A">
      <w:pPr>
        <w:pStyle w:val="a8"/>
        <w:numPr>
          <w:ilvl w:val="0"/>
          <w:numId w:val="5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제품식별명</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M016.10(a), (d), (e), (g), (h), (i), (k), (l), (m)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(r)</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알파벳순으로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구성한다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패널에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M020.50(a)(1)</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p>
    <w:p w14:paraId="5D293DA2"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122E54C8" w14:textId="77777777" w:rsidR="003630A1" w:rsidRPr="002C7F14" w:rsidRDefault="003630A1" w:rsidP="00300A7A">
      <w:pPr>
        <w:pStyle w:val="a8"/>
        <w:numPr>
          <w:ilvl w:val="0"/>
          <w:numId w:val="5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M016.50(b)(2)</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M020.52(a)(1)</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M016.50(b)(2)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확립된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진실되고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소지가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330.1(c)(2)</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부합하는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방식으로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p>
    <w:p w14:paraId="167749D6"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4BA85211" w14:textId="1D7B6D48" w:rsidR="003630A1" w:rsidRPr="002C7F14" w:rsidRDefault="003630A1" w:rsidP="00300A7A">
      <w:pPr>
        <w:pStyle w:val="a8"/>
        <w:numPr>
          <w:ilvl w:val="0"/>
          <w:numId w:val="5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M020.52(b)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231C25FF" w14:textId="77777777" w:rsidR="003630A1" w:rsidRPr="002C7F14" w:rsidRDefault="003630A1" w:rsidP="003630A1">
      <w:pPr>
        <w:tabs>
          <w:tab w:val="left" w:pos="426"/>
        </w:tabs>
        <w:spacing w:line="264" w:lineRule="auto"/>
        <w:jc w:val="both"/>
        <w:rPr>
          <w:rFonts w:asciiTheme="minorEastAsia" w:eastAsiaTheme="minorEastAsia" w:hAnsiTheme="minorEastAsia" w:cs="맑은 고딕"/>
          <w:sz w:val="20"/>
          <w:szCs w:val="20"/>
          <w:lang w:eastAsia="ko-KR"/>
        </w:rPr>
      </w:pPr>
    </w:p>
    <w:p w14:paraId="1B4420A1" w14:textId="50BB4E0E" w:rsidR="003630A1" w:rsidRPr="002C7F14" w:rsidRDefault="003630A1" w:rsidP="00300A7A">
      <w:pPr>
        <w:pStyle w:val="a8"/>
        <w:numPr>
          <w:ilvl w:val="0"/>
          <w:numId w:val="5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M020.60(d)</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달리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명시되어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M016.50(d)</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제한이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확립된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초과하는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제한보다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낮은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연령대에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없다고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295FB367" w14:textId="3709D08C" w:rsidR="00C74C5C" w:rsidRPr="002C7F14" w:rsidRDefault="00C74C5C" w:rsidP="003630A1">
      <w:pPr>
        <w:spacing w:line="264" w:lineRule="auto"/>
        <w:jc w:val="both"/>
        <w:rPr>
          <w:rFonts w:asciiTheme="minorEastAsia" w:eastAsiaTheme="minorEastAsia" w:hAnsiTheme="minorEastAsia" w:cs="맑은 고딕"/>
          <w:sz w:val="20"/>
          <w:szCs w:val="20"/>
          <w:lang w:eastAsia="ko-KR"/>
        </w:rPr>
      </w:pPr>
    </w:p>
    <w:p w14:paraId="70ACB4DB" w14:textId="77777777" w:rsidR="003630A1" w:rsidRPr="002C7F14" w:rsidRDefault="003630A1" w:rsidP="003630A1">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w:t>
      </w:r>
      <w:r w:rsidRPr="002C7F14">
        <w:rPr>
          <w:rFonts w:asciiTheme="minorEastAsia" w:eastAsiaTheme="minorEastAsia" w:hAnsiTheme="minorEastAsia" w:cs="맑은 고딕"/>
          <w:b/>
          <w:sz w:val="20"/>
          <w:szCs w:val="20"/>
          <w:lang w:eastAsia="ko-KR"/>
        </w:rPr>
        <w:t>D</w:t>
      </w:r>
      <w:r w:rsidRPr="002C7F14">
        <w:rPr>
          <w:rFonts w:asciiTheme="minorEastAsia" w:eastAsiaTheme="minorEastAsia" w:hAnsiTheme="minorEastAsia" w:cs="맑은 고딕" w:hint="eastAsia"/>
          <w:b/>
          <w:sz w:val="20"/>
          <w:szCs w:val="20"/>
          <w:lang w:eastAsia="ko-KR"/>
        </w:rPr>
        <w:t>부—최종</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제형</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시험</w:t>
      </w:r>
    </w:p>
    <w:p w14:paraId="2CA31FA9"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090251AB" w14:textId="77777777" w:rsidR="003630A1" w:rsidRPr="002C7F14" w:rsidRDefault="003630A1" w:rsidP="003630A1">
      <w:pPr>
        <w:spacing w:line="264" w:lineRule="auto"/>
        <w:jc w:val="both"/>
        <w:rPr>
          <w:rFonts w:asciiTheme="minorEastAsia" w:eastAsiaTheme="minorEastAsia" w:hAnsiTheme="minorEastAsia" w:cs="맑은 고딕"/>
          <w:b/>
          <w:sz w:val="20"/>
          <w:szCs w:val="20"/>
          <w:lang w:eastAsia="ko-KR"/>
        </w:rPr>
      </w:pPr>
      <w:bookmarkStart w:id="18" w:name="§_M020.70_General_obligations_of_respons"/>
      <w:bookmarkEnd w:id="18"/>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M020.70 </w:t>
      </w:r>
      <w:r w:rsidRPr="002C7F14">
        <w:rPr>
          <w:rFonts w:asciiTheme="minorEastAsia" w:eastAsiaTheme="minorEastAsia" w:hAnsiTheme="minorEastAsia" w:cs="맑은 고딕" w:hint="eastAsia"/>
          <w:b/>
          <w:sz w:val="20"/>
          <w:szCs w:val="20"/>
          <w:lang w:eastAsia="ko-KR"/>
        </w:rPr>
        <w:t>책임자의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일반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의무</w:t>
      </w:r>
    </w:p>
    <w:p w14:paraId="3903B43C"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5E263497"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ABC7A0A"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2BA2D522" w14:textId="77777777" w:rsidR="003630A1" w:rsidRPr="002C7F14" w:rsidRDefault="003630A1" w:rsidP="00300A7A">
      <w:pPr>
        <w:pStyle w:val="a8"/>
        <w:numPr>
          <w:ilvl w:val="0"/>
          <w:numId w:val="58"/>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의무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w:t>
      </w:r>
    </w:p>
    <w:p w14:paraId="20D74ACD"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7E5D5EF4" w14:textId="77777777" w:rsidR="003630A1" w:rsidRPr="002C7F14" w:rsidRDefault="003630A1" w:rsidP="00112A1B">
      <w:pPr>
        <w:pStyle w:val="a8"/>
        <w:numPr>
          <w:ilvl w:val="0"/>
          <w:numId w:val="59"/>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연구기관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시험소</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양수인이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필요하다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이전되었다는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간주된다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당사자가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F10B797" w14:textId="77777777" w:rsidR="003630A1" w:rsidRPr="002C7F14" w:rsidRDefault="003630A1" w:rsidP="00112A1B">
      <w:pPr>
        <w:spacing w:line="264" w:lineRule="auto"/>
        <w:jc w:val="both"/>
        <w:rPr>
          <w:rFonts w:asciiTheme="minorEastAsia" w:eastAsiaTheme="minorEastAsia" w:hAnsiTheme="minorEastAsia" w:cs="맑은 고딕"/>
          <w:sz w:val="20"/>
          <w:szCs w:val="20"/>
          <w:lang w:eastAsia="ko-KR"/>
        </w:rPr>
      </w:pPr>
    </w:p>
    <w:p w14:paraId="1F600CED" w14:textId="77777777" w:rsidR="003630A1" w:rsidRPr="002C7F14" w:rsidRDefault="003630A1" w:rsidP="00112A1B">
      <w:pPr>
        <w:pStyle w:val="a8"/>
        <w:numPr>
          <w:ilvl w:val="0"/>
          <w:numId w:val="59"/>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책임자의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부과된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조치가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언급은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범위까지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연구기관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시험소</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적용된다</w:t>
      </w:r>
      <w:r w:rsidRPr="002C7F14">
        <w:rPr>
          <w:rFonts w:asciiTheme="minorEastAsia" w:eastAsiaTheme="minorEastAsia" w:hAnsiTheme="minorEastAsia" w:cs="맑은 고딕"/>
          <w:sz w:val="20"/>
          <w:szCs w:val="20"/>
          <w:lang w:eastAsia="ko-KR"/>
        </w:rPr>
        <w:t>.</w:t>
      </w:r>
    </w:p>
    <w:p w14:paraId="42DC973F"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23A319BD" w14:textId="09E2ED25" w:rsidR="003630A1" w:rsidRPr="002C7F14" w:rsidRDefault="003630A1" w:rsidP="00300A7A">
      <w:pPr>
        <w:pStyle w:val="a8"/>
        <w:numPr>
          <w:ilvl w:val="0"/>
          <w:numId w:val="58"/>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인력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훈련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갖춘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종사하는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할당된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기능을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교육</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훈련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이들의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갖추어야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p>
    <w:p w14:paraId="431F36EF"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1F8B4F69" w14:textId="77777777" w:rsidR="003630A1" w:rsidRPr="002C7F14" w:rsidRDefault="003630A1" w:rsidP="003630A1">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M020.80 </w:t>
      </w:r>
      <w:r w:rsidRPr="002C7F14">
        <w:rPr>
          <w:rFonts w:asciiTheme="minorEastAsia" w:eastAsiaTheme="minorEastAsia" w:hAnsiTheme="minorEastAsia" w:cs="맑은 고딕" w:hint="eastAsia"/>
          <w:b/>
          <w:sz w:val="20"/>
          <w:szCs w:val="20"/>
          <w:lang w:eastAsia="ko-KR"/>
        </w:rPr>
        <w:t>자외선차단지수</w:t>
      </w:r>
      <w:r w:rsidRPr="002C7F14">
        <w:rPr>
          <w:rFonts w:asciiTheme="minorEastAsia" w:eastAsiaTheme="minorEastAsia" w:hAnsiTheme="minorEastAsia" w:cs="맑은 고딕"/>
          <w:b/>
          <w:sz w:val="20"/>
          <w:szCs w:val="20"/>
          <w:lang w:eastAsia="ko-KR"/>
        </w:rPr>
        <w:t xml:space="preserve">(SPF) </w:t>
      </w:r>
      <w:r w:rsidRPr="002C7F14">
        <w:rPr>
          <w:rFonts w:asciiTheme="minorEastAsia" w:eastAsiaTheme="minorEastAsia" w:hAnsiTheme="minorEastAsia" w:cs="맑은 고딕" w:hint="eastAsia"/>
          <w:b/>
          <w:sz w:val="20"/>
          <w:szCs w:val="20"/>
          <w:lang w:eastAsia="ko-KR"/>
        </w:rPr>
        <w:t>시험</w:t>
      </w:r>
    </w:p>
    <w:p w14:paraId="3E7227CA" w14:textId="77777777" w:rsidR="003630A1" w:rsidRPr="002C7F14" w:rsidRDefault="003630A1" w:rsidP="003630A1">
      <w:pPr>
        <w:spacing w:line="264" w:lineRule="auto"/>
        <w:jc w:val="both"/>
        <w:rPr>
          <w:rFonts w:asciiTheme="minorEastAsia" w:eastAsiaTheme="minorEastAsia" w:hAnsiTheme="minorEastAsia" w:cs="맑은 고딕"/>
          <w:sz w:val="20"/>
          <w:szCs w:val="20"/>
          <w:lang w:eastAsia="ko-KR"/>
        </w:rPr>
      </w:pPr>
    </w:p>
    <w:p w14:paraId="7E01F7B8" w14:textId="3C6D5683" w:rsidR="003630A1" w:rsidRPr="002C7F14" w:rsidRDefault="003630A1" w:rsidP="00300A7A">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절차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p>
    <w:p w14:paraId="2A7874A0" w14:textId="6A1EE89A" w:rsidR="003630A1" w:rsidRPr="002C7F14" w:rsidRDefault="003630A1" w:rsidP="00EF791F">
      <w:pPr>
        <w:spacing w:line="264" w:lineRule="auto"/>
        <w:jc w:val="both"/>
        <w:rPr>
          <w:rFonts w:asciiTheme="minorEastAsia" w:eastAsiaTheme="minorEastAsia" w:hAnsiTheme="minorEastAsia" w:cs="맑은 고딕"/>
          <w:sz w:val="20"/>
          <w:szCs w:val="20"/>
          <w:lang w:eastAsia="ko-KR"/>
        </w:rPr>
      </w:pPr>
    </w:p>
    <w:p w14:paraId="6372C7EB" w14:textId="00BAA747" w:rsidR="00C54BEE" w:rsidRPr="002C7F14" w:rsidRDefault="00C54BEE" w:rsidP="0030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종사하는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받아야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모니터링을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계획</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프로토콜에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M020.80(a)(2)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(a)(3)</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식품의약국</w:t>
      </w:r>
      <w:r w:rsidRPr="002C7F14">
        <w:rPr>
          <w:rFonts w:asciiTheme="minorEastAsia" w:eastAsiaTheme="minorEastAsia" w:hAnsiTheme="minorEastAsia" w:cs="맑은 고딕"/>
          <w:sz w:val="20"/>
          <w:szCs w:val="20"/>
          <w:lang w:eastAsia="ko-KR"/>
        </w:rPr>
        <w:t xml:space="preserve">(FDA)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새로운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즉시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알려야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56C6833" w14:textId="77777777" w:rsidR="00C54BEE" w:rsidRPr="002C7F14" w:rsidRDefault="00C54BEE" w:rsidP="00300A7A">
      <w:pPr>
        <w:spacing w:line="264" w:lineRule="auto"/>
        <w:ind w:left="284"/>
        <w:jc w:val="both"/>
        <w:rPr>
          <w:rFonts w:asciiTheme="minorEastAsia" w:eastAsiaTheme="minorEastAsia" w:hAnsiTheme="minorEastAsia" w:cs="맑은 고딕"/>
          <w:sz w:val="20"/>
          <w:szCs w:val="20"/>
          <w:lang w:eastAsia="ko-KR"/>
        </w:rPr>
      </w:pPr>
    </w:p>
    <w:p w14:paraId="6AE64098" w14:textId="77777777" w:rsidR="00C54BEE" w:rsidRPr="002C7F14" w:rsidRDefault="00C54BEE" w:rsidP="0030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고지에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입각한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50</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법적으로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입각한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시작하기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피험자로부터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받아야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E48FFC8" w14:textId="77777777" w:rsidR="00C54BEE" w:rsidRPr="002C7F14" w:rsidRDefault="00C54BEE" w:rsidP="00300A7A">
      <w:pPr>
        <w:spacing w:line="264" w:lineRule="auto"/>
        <w:ind w:left="284"/>
        <w:jc w:val="both"/>
        <w:rPr>
          <w:rFonts w:asciiTheme="minorEastAsia" w:eastAsiaTheme="minorEastAsia" w:hAnsiTheme="minorEastAsia" w:cs="맑은 고딕"/>
          <w:sz w:val="20"/>
          <w:szCs w:val="20"/>
          <w:lang w:eastAsia="ko-KR"/>
        </w:rPr>
      </w:pPr>
    </w:p>
    <w:p w14:paraId="7189592B" w14:textId="77777777" w:rsidR="00C54BEE" w:rsidRPr="002C7F14" w:rsidRDefault="00C54BEE" w:rsidP="0030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임상시험심사위원회</w:t>
      </w:r>
      <w:r w:rsidRPr="002C7F14">
        <w:rPr>
          <w:rFonts w:asciiTheme="minorEastAsia" w:eastAsiaTheme="minorEastAsia" w:hAnsiTheme="minorEastAsia" w:cs="맑은 고딕"/>
          <w:sz w:val="20"/>
          <w:szCs w:val="20"/>
          <w:lang w:eastAsia="ko-KR"/>
        </w:rPr>
        <w:t xml:space="preserve">(IRB) </w:t>
      </w:r>
      <w:r w:rsidRPr="002C7F14">
        <w:rPr>
          <w:rFonts w:asciiTheme="minorEastAsia" w:eastAsiaTheme="minorEastAsia" w:hAnsiTheme="minorEastAsia" w:cs="맑은 고딕" w:hint="eastAsia"/>
          <w:sz w:val="20"/>
          <w:szCs w:val="20"/>
          <w:lang w:eastAsia="ko-KR"/>
        </w:rPr>
        <w:t>승인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56</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FDA </w:t>
      </w:r>
      <w:r w:rsidRPr="002C7F14">
        <w:rPr>
          <w:rFonts w:asciiTheme="minorEastAsia" w:eastAsiaTheme="minorEastAsia" w:hAnsiTheme="minorEastAsia" w:cs="맑은 고딕" w:hint="eastAsia"/>
          <w:sz w:val="20"/>
          <w:szCs w:val="20"/>
          <w:lang w:eastAsia="ko-KR"/>
        </w:rPr>
        <w:t>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IRB</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승인을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받아야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D2ECBB2" w14:textId="77777777" w:rsidR="00C54BEE" w:rsidRPr="002C7F14" w:rsidRDefault="00C54BEE" w:rsidP="00300A7A">
      <w:pPr>
        <w:spacing w:line="264" w:lineRule="auto"/>
        <w:ind w:left="284"/>
        <w:jc w:val="both"/>
        <w:rPr>
          <w:rFonts w:asciiTheme="minorEastAsia" w:eastAsiaTheme="minorEastAsia" w:hAnsiTheme="minorEastAsia" w:cs="맑은 고딕"/>
          <w:sz w:val="20"/>
          <w:szCs w:val="20"/>
          <w:lang w:eastAsia="ko-KR"/>
        </w:rPr>
      </w:pPr>
    </w:p>
    <w:p w14:paraId="474935EB" w14:textId="77777777" w:rsidR="00C54BEE" w:rsidRPr="002C7F14" w:rsidRDefault="00C54BEE" w:rsidP="0030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인력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관리</w:t>
      </w:r>
    </w:p>
    <w:p w14:paraId="5EA6526F" w14:textId="77777777" w:rsidR="00C54BEE" w:rsidRPr="002C7F14" w:rsidRDefault="00C54BEE" w:rsidP="00C54BEE">
      <w:pPr>
        <w:spacing w:line="264" w:lineRule="auto"/>
        <w:jc w:val="both"/>
        <w:rPr>
          <w:rFonts w:asciiTheme="minorEastAsia" w:eastAsiaTheme="minorEastAsia" w:hAnsiTheme="minorEastAsia" w:cs="맑은 고딕"/>
          <w:sz w:val="20"/>
          <w:szCs w:val="20"/>
          <w:lang w:eastAsia="ko-KR"/>
        </w:rPr>
      </w:pPr>
    </w:p>
    <w:p w14:paraId="2DB552E7" w14:textId="77777777" w:rsidR="00C54BEE" w:rsidRPr="002C7F14" w:rsidRDefault="00C54BEE" w:rsidP="00300A7A">
      <w:pPr>
        <w:pStyle w:val="a8"/>
        <w:numPr>
          <w:ilvl w:val="0"/>
          <w:numId w:val="62"/>
        </w:numPr>
        <w:tabs>
          <w:tab w:val="left" w:pos="1134"/>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일반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시험계획</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권리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복지를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보호조치를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이행하도록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변경사항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사람에게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제기하는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예기치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문제를</w:t>
      </w:r>
      <w:r w:rsidRPr="002C7F14">
        <w:rPr>
          <w:rFonts w:asciiTheme="minorEastAsia" w:eastAsiaTheme="minorEastAsia" w:hAnsiTheme="minorEastAsia" w:cs="맑은 고딕"/>
          <w:sz w:val="20"/>
          <w:szCs w:val="20"/>
          <w:lang w:eastAsia="ko-KR"/>
        </w:rPr>
        <w:t xml:space="preserve"> IRB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즉시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명백한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즉각적인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제거하는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인력이</w:t>
      </w:r>
      <w:r w:rsidRPr="002C7F14">
        <w:rPr>
          <w:rFonts w:asciiTheme="minorEastAsia" w:eastAsiaTheme="minorEastAsia" w:hAnsiTheme="minorEastAsia" w:cs="맑은 고딕"/>
          <w:sz w:val="20"/>
          <w:szCs w:val="20"/>
          <w:lang w:eastAsia="ko-KR"/>
        </w:rPr>
        <w:t xml:space="preserve"> IRB </w:t>
      </w:r>
      <w:r w:rsidRPr="002C7F14">
        <w:rPr>
          <w:rFonts w:asciiTheme="minorEastAsia" w:eastAsiaTheme="minorEastAsia" w:hAnsiTheme="minorEastAsia" w:cs="맑은 고딕" w:hint="eastAsia"/>
          <w:sz w:val="20"/>
          <w:szCs w:val="20"/>
          <w:lang w:eastAsia="ko-KR"/>
        </w:rPr>
        <w:t>승인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변경하지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203A34F2" w14:textId="77777777" w:rsidR="00C54BEE" w:rsidRPr="002C7F14" w:rsidRDefault="00C54BEE" w:rsidP="00300A7A">
      <w:pPr>
        <w:tabs>
          <w:tab w:val="left" w:pos="1134"/>
        </w:tabs>
        <w:spacing w:line="264" w:lineRule="auto"/>
        <w:ind w:left="709"/>
        <w:jc w:val="both"/>
        <w:rPr>
          <w:rFonts w:asciiTheme="minorEastAsia" w:eastAsiaTheme="minorEastAsia" w:hAnsiTheme="minorEastAsia" w:cs="맑은 고딕"/>
          <w:sz w:val="20"/>
          <w:szCs w:val="20"/>
          <w:lang w:eastAsia="ko-KR"/>
        </w:rPr>
      </w:pPr>
    </w:p>
    <w:p w14:paraId="740DF743" w14:textId="77777777" w:rsidR="00C54BEE" w:rsidRPr="002C7F14" w:rsidRDefault="00C54BEE" w:rsidP="00300A7A">
      <w:pPr>
        <w:pStyle w:val="a8"/>
        <w:numPr>
          <w:ilvl w:val="0"/>
          <w:numId w:val="62"/>
        </w:numPr>
        <w:tabs>
          <w:tab w:val="left" w:pos="1134"/>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시험자로부터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참여하도록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확보해야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6D3ACE4" w14:textId="77777777" w:rsidR="00C54BEE" w:rsidRPr="002C7F14" w:rsidRDefault="00C54BEE" w:rsidP="00C54BEE">
      <w:pPr>
        <w:spacing w:line="264" w:lineRule="auto"/>
        <w:jc w:val="both"/>
        <w:rPr>
          <w:rFonts w:asciiTheme="minorEastAsia" w:eastAsiaTheme="minorEastAsia" w:hAnsiTheme="minorEastAsia" w:cs="맑은 고딕"/>
          <w:sz w:val="20"/>
          <w:szCs w:val="20"/>
          <w:lang w:eastAsia="ko-KR"/>
        </w:rPr>
      </w:pPr>
    </w:p>
    <w:p w14:paraId="119C81DF" w14:textId="77777777" w:rsidR="00C54BEE" w:rsidRPr="002C7F14" w:rsidRDefault="00C54BEE" w:rsidP="00710874">
      <w:pPr>
        <w:pStyle w:val="a8"/>
        <w:numPr>
          <w:ilvl w:val="0"/>
          <w:numId w:val="63"/>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이름과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약속을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p>
    <w:p w14:paraId="3C2EEFB9" w14:textId="77777777" w:rsidR="00C54BEE" w:rsidRPr="002C7F14" w:rsidRDefault="00C54BEE" w:rsidP="00C54BEE">
      <w:pPr>
        <w:spacing w:line="264" w:lineRule="auto"/>
        <w:jc w:val="both"/>
        <w:rPr>
          <w:rFonts w:asciiTheme="minorEastAsia" w:eastAsiaTheme="minorEastAsia" w:hAnsiTheme="minorEastAsia" w:cs="맑은 고딕"/>
          <w:sz w:val="20"/>
          <w:szCs w:val="20"/>
          <w:lang w:eastAsia="ko-KR"/>
        </w:rPr>
      </w:pPr>
    </w:p>
    <w:p w14:paraId="3ECE4AEA" w14:textId="6FAF7062" w:rsidR="003630A1" w:rsidRPr="002C7F14" w:rsidRDefault="00C54BEE" w:rsidP="00710874">
      <w:pPr>
        <w:pStyle w:val="a8"/>
        <w:numPr>
          <w:ilvl w:val="0"/>
          <w:numId w:val="64"/>
        </w:numPr>
        <w:tabs>
          <w:tab w:val="left" w:pos="2127"/>
        </w:tabs>
        <w:spacing w:line="264" w:lineRule="auto"/>
        <w:ind w:leftChars="0" w:left="170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프로토콜에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권리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복지를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IRB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후에만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프로토콜을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변경한다</w:t>
      </w:r>
      <w:r w:rsidRPr="002C7F14">
        <w:rPr>
          <w:rFonts w:asciiTheme="minorEastAsia" w:eastAsiaTheme="minorEastAsia" w:hAnsiTheme="minorEastAsia" w:cs="맑은 고딕"/>
          <w:sz w:val="20"/>
          <w:szCs w:val="20"/>
          <w:lang w:eastAsia="ko-KR"/>
        </w:rPr>
        <w:t>.</w:t>
      </w:r>
    </w:p>
    <w:p w14:paraId="6AF9D1DB" w14:textId="18140182" w:rsidR="003630A1" w:rsidRPr="002C7F14" w:rsidRDefault="003630A1" w:rsidP="00EF791F">
      <w:pPr>
        <w:spacing w:line="264" w:lineRule="auto"/>
        <w:jc w:val="both"/>
        <w:rPr>
          <w:rFonts w:asciiTheme="minorEastAsia" w:eastAsiaTheme="minorEastAsia" w:hAnsiTheme="minorEastAsia" w:cs="맑은 고딕"/>
          <w:sz w:val="20"/>
          <w:szCs w:val="20"/>
          <w:lang w:eastAsia="ko-KR"/>
        </w:rPr>
      </w:pPr>
    </w:p>
    <w:p w14:paraId="7B52FF0C" w14:textId="77777777" w:rsidR="00710874" w:rsidRPr="002C7F14" w:rsidRDefault="00710874" w:rsidP="00710874">
      <w:pPr>
        <w:pStyle w:val="a8"/>
        <w:numPr>
          <w:ilvl w:val="0"/>
          <w:numId w:val="64"/>
        </w:numPr>
        <w:tabs>
          <w:tab w:val="left" w:pos="2127"/>
        </w:tabs>
        <w:spacing w:line="264" w:lineRule="auto"/>
        <w:ind w:leftChars="0" w:left="170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준수한다</w:t>
      </w:r>
      <w:r w:rsidRPr="002C7F14">
        <w:rPr>
          <w:rFonts w:asciiTheme="minorEastAsia" w:eastAsiaTheme="minorEastAsia" w:hAnsiTheme="minorEastAsia" w:cs="맑은 고딕"/>
          <w:sz w:val="20"/>
          <w:szCs w:val="20"/>
          <w:lang w:eastAsia="ko-KR"/>
        </w:rPr>
        <w:t>.</w:t>
      </w:r>
    </w:p>
    <w:p w14:paraId="3A0F71A9" w14:textId="77777777" w:rsidR="00710874" w:rsidRPr="002C7F14" w:rsidRDefault="00710874" w:rsidP="00710874">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7D88356F" w14:textId="77777777" w:rsidR="00710874" w:rsidRPr="002C7F14" w:rsidRDefault="00710874" w:rsidP="00710874">
      <w:pPr>
        <w:pStyle w:val="a8"/>
        <w:numPr>
          <w:ilvl w:val="0"/>
          <w:numId w:val="64"/>
        </w:numPr>
        <w:tabs>
          <w:tab w:val="left" w:pos="2127"/>
        </w:tabs>
        <w:spacing w:line="264" w:lineRule="auto"/>
        <w:ind w:leftChars="0" w:left="170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감독한다</w:t>
      </w:r>
      <w:r w:rsidRPr="002C7F14">
        <w:rPr>
          <w:rFonts w:asciiTheme="minorEastAsia" w:eastAsiaTheme="minorEastAsia" w:hAnsiTheme="minorEastAsia" w:cs="맑은 고딕"/>
          <w:sz w:val="20"/>
          <w:szCs w:val="20"/>
          <w:lang w:eastAsia="ko-KR"/>
        </w:rPr>
        <w:t xml:space="preserve">. </w:t>
      </w:r>
    </w:p>
    <w:p w14:paraId="6D76E9BE" w14:textId="77777777" w:rsidR="00710874" w:rsidRPr="002C7F14" w:rsidRDefault="00710874" w:rsidP="00710874">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05F21922" w14:textId="77777777" w:rsidR="00710874" w:rsidRPr="002C7F14" w:rsidRDefault="00710874" w:rsidP="00710874">
      <w:pPr>
        <w:pStyle w:val="a8"/>
        <w:numPr>
          <w:ilvl w:val="0"/>
          <w:numId w:val="64"/>
        </w:numPr>
        <w:tabs>
          <w:tab w:val="left" w:pos="2127"/>
        </w:tabs>
        <w:spacing w:line="264" w:lineRule="auto"/>
        <w:ind w:leftChars="0" w:left="170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잠재적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목적으로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알리고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입각한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동의</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50</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와</w:t>
      </w:r>
      <w:r w:rsidRPr="002C7F14">
        <w:rPr>
          <w:rFonts w:asciiTheme="minorEastAsia" w:eastAsiaTheme="minorEastAsia" w:hAnsiTheme="minorEastAsia" w:cs="맑은 고딕"/>
          <w:sz w:val="20"/>
          <w:szCs w:val="20"/>
          <w:lang w:eastAsia="ko-KR"/>
        </w:rPr>
        <w:t xml:space="preserve"> IRB </w:t>
      </w:r>
      <w:r w:rsidRPr="002C7F14">
        <w:rPr>
          <w:rFonts w:asciiTheme="minorEastAsia" w:eastAsiaTheme="minorEastAsia" w:hAnsiTheme="minorEastAsia" w:cs="맑은 고딕" w:hint="eastAsia"/>
          <w:sz w:val="20"/>
          <w:szCs w:val="20"/>
          <w:lang w:eastAsia="ko-KR"/>
        </w:rPr>
        <w:t>심사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승인</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56</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준수한다</w:t>
      </w:r>
      <w:r w:rsidRPr="002C7F14">
        <w:rPr>
          <w:rFonts w:asciiTheme="minorEastAsia" w:eastAsiaTheme="minorEastAsia" w:hAnsiTheme="minorEastAsia" w:cs="맑은 고딕"/>
          <w:sz w:val="20"/>
          <w:szCs w:val="20"/>
          <w:lang w:eastAsia="ko-KR"/>
        </w:rPr>
        <w:t>.</w:t>
      </w:r>
    </w:p>
    <w:p w14:paraId="33BAF19D" w14:textId="77777777" w:rsidR="00710874" w:rsidRPr="002C7F14" w:rsidRDefault="00710874" w:rsidP="00710874">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25D3D9B8" w14:textId="77777777" w:rsidR="00710874" w:rsidRPr="002C7F14" w:rsidRDefault="00710874" w:rsidP="00710874">
      <w:pPr>
        <w:pStyle w:val="a8"/>
        <w:numPr>
          <w:ilvl w:val="0"/>
          <w:numId w:val="64"/>
        </w:numPr>
        <w:tabs>
          <w:tab w:val="left" w:pos="2127"/>
        </w:tabs>
        <w:spacing w:line="264" w:lineRule="auto"/>
        <w:ind w:leftChars="0" w:left="170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발생하는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부작용을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보고한다</w:t>
      </w:r>
      <w:r w:rsidRPr="002C7F14">
        <w:rPr>
          <w:rFonts w:asciiTheme="minorEastAsia" w:eastAsiaTheme="minorEastAsia" w:hAnsiTheme="minorEastAsia" w:cs="맑은 고딕"/>
          <w:sz w:val="20"/>
          <w:szCs w:val="20"/>
          <w:lang w:eastAsia="ko-KR"/>
        </w:rPr>
        <w:t xml:space="preserve">. </w:t>
      </w:r>
    </w:p>
    <w:p w14:paraId="4B543ED6" w14:textId="77777777" w:rsidR="00710874" w:rsidRPr="002C7F14" w:rsidRDefault="00710874" w:rsidP="00710874">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79FB6D28" w14:textId="77777777" w:rsidR="00710874" w:rsidRPr="002C7F14" w:rsidRDefault="00710874" w:rsidP="00710874">
      <w:pPr>
        <w:pStyle w:val="a8"/>
        <w:numPr>
          <w:ilvl w:val="0"/>
          <w:numId w:val="64"/>
        </w:numPr>
        <w:tabs>
          <w:tab w:val="left" w:pos="2127"/>
        </w:tabs>
        <w:spacing w:line="264" w:lineRule="auto"/>
        <w:ind w:leftChars="0" w:left="1701" w:firstLine="0"/>
        <w:jc w:val="both"/>
        <w:rPr>
          <w:rFonts w:asciiTheme="minorEastAsia" w:eastAsiaTheme="minorEastAsia" w:hAnsiTheme="minorEastAsia"/>
          <w:sz w:val="24"/>
          <w:lang w:eastAsia="ko-KR"/>
        </w:rPr>
      </w:pP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지원하는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약속의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이행과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보장한다</w:t>
      </w:r>
      <w:r w:rsidRPr="002C7F14">
        <w:rPr>
          <w:rFonts w:asciiTheme="minorEastAsia" w:eastAsiaTheme="minorEastAsia" w:hAnsiTheme="minorEastAsia" w:cs="맑은 고딕"/>
          <w:sz w:val="20"/>
          <w:szCs w:val="20"/>
          <w:lang w:eastAsia="ko-KR"/>
        </w:rPr>
        <w:t>.</w:t>
      </w:r>
    </w:p>
    <w:p w14:paraId="04DE0391" w14:textId="06273B53"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2DAEE86F" w14:textId="77777777" w:rsidR="00490A7A" w:rsidRPr="002C7F14" w:rsidRDefault="00490A7A" w:rsidP="00490A7A">
      <w:pPr>
        <w:pStyle w:val="a8"/>
        <w:numPr>
          <w:ilvl w:val="0"/>
          <w:numId w:val="63"/>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이력서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교육</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훈련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보여주는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이력서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진술서</w:t>
      </w:r>
      <w:r w:rsidRPr="002C7F14">
        <w:rPr>
          <w:rFonts w:asciiTheme="minorEastAsia" w:eastAsiaTheme="minorEastAsia" w:hAnsiTheme="minorEastAsia" w:cs="맑은 고딕"/>
          <w:sz w:val="20"/>
          <w:szCs w:val="20"/>
          <w:lang w:eastAsia="ko-KR"/>
        </w:rPr>
        <w:t>.</w:t>
      </w:r>
    </w:p>
    <w:p w14:paraId="2A1B9361" w14:textId="77777777"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26022760" w14:textId="4746DECC" w:rsidR="00490A7A" w:rsidRPr="002C7F14" w:rsidRDefault="00490A7A" w:rsidP="0049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진행되는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발견하거나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새로운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알려야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BAD61DF" w14:textId="77777777" w:rsidR="00490A7A" w:rsidRPr="002C7F14" w:rsidRDefault="00490A7A" w:rsidP="00490A7A">
      <w:pPr>
        <w:pStyle w:val="a8"/>
        <w:spacing w:line="264" w:lineRule="auto"/>
        <w:ind w:leftChars="0" w:left="284"/>
        <w:jc w:val="both"/>
        <w:rPr>
          <w:rFonts w:asciiTheme="minorEastAsia" w:eastAsiaTheme="minorEastAsia" w:hAnsiTheme="minorEastAsia" w:cs="맑은 고딕"/>
          <w:sz w:val="20"/>
          <w:szCs w:val="20"/>
          <w:lang w:eastAsia="ko-KR"/>
        </w:rPr>
      </w:pPr>
    </w:p>
    <w:p w14:paraId="0590733E" w14:textId="77777777" w:rsidR="00490A7A" w:rsidRPr="002C7F14" w:rsidRDefault="00490A7A" w:rsidP="0049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진행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검토</w:t>
      </w:r>
    </w:p>
    <w:p w14:paraId="11A1D317" w14:textId="77777777" w:rsidR="00490A7A" w:rsidRPr="002C7F14" w:rsidRDefault="00490A7A" w:rsidP="00490A7A">
      <w:pPr>
        <w:pStyle w:val="a8"/>
        <w:spacing w:line="264" w:lineRule="auto"/>
        <w:ind w:leftChars="0" w:left="284"/>
        <w:jc w:val="both"/>
        <w:rPr>
          <w:rFonts w:asciiTheme="minorEastAsia" w:eastAsiaTheme="minorEastAsia" w:hAnsiTheme="minorEastAsia" w:cs="맑은 고딕"/>
          <w:sz w:val="20"/>
          <w:szCs w:val="20"/>
          <w:lang w:eastAsia="ko-KR"/>
        </w:rPr>
      </w:pPr>
    </w:p>
    <w:p w14:paraId="082BCA5D" w14:textId="77777777" w:rsidR="00490A7A" w:rsidRPr="002C7F14" w:rsidRDefault="00490A7A" w:rsidP="006B41D1">
      <w:pPr>
        <w:pStyle w:val="a8"/>
        <w:numPr>
          <w:ilvl w:val="0"/>
          <w:numId w:val="65"/>
        </w:numPr>
        <w:tabs>
          <w:tab w:val="left" w:pos="1134"/>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모니터링해야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2FEFD52" w14:textId="77777777" w:rsidR="00490A7A" w:rsidRPr="002C7F14" w:rsidRDefault="00490A7A" w:rsidP="00490A7A">
      <w:pPr>
        <w:pStyle w:val="a8"/>
        <w:tabs>
          <w:tab w:val="left" w:pos="1134"/>
          <w:tab w:val="left" w:pos="2127"/>
        </w:tabs>
        <w:spacing w:line="264" w:lineRule="auto"/>
        <w:ind w:leftChars="0" w:left="709"/>
        <w:jc w:val="both"/>
        <w:rPr>
          <w:rFonts w:asciiTheme="minorEastAsia" w:eastAsiaTheme="minorEastAsia" w:hAnsiTheme="minorEastAsia" w:cs="맑은 고딕"/>
          <w:sz w:val="20"/>
          <w:szCs w:val="20"/>
          <w:lang w:eastAsia="ko-KR"/>
        </w:rPr>
      </w:pPr>
    </w:p>
    <w:p w14:paraId="5B48FAB8" w14:textId="77777777" w:rsidR="00490A7A" w:rsidRPr="002C7F14" w:rsidRDefault="00490A7A" w:rsidP="006B41D1">
      <w:pPr>
        <w:pStyle w:val="a8"/>
        <w:numPr>
          <w:ilvl w:val="0"/>
          <w:numId w:val="65"/>
        </w:numPr>
        <w:tabs>
          <w:tab w:val="left" w:pos="1134"/>
          <w:tab w:val="left" w:pos="2127"/>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계획</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50</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56</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발견한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종료해야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9C74D12" w14:textId="77777777" w:rsidR="00490A7A" w:rsidRPr="002C7F14" w:rsidRDefault="00490A7A" w:rsidP="00490A7A">
      <w:pPr>
        <w:pStyle w:val="a8"/>
        <w:tabs>
          <w:tab w:val="left" w:pos="1134"/>
          <w:tab w:val="left" w:pos="2127"/>
        </w:tabs>
        <w:spacing w:line="264" w:lineRule="auto"/>
        <w:ind w:leftChars="0" w:left="709"/>
        <w:jc w:val="both"/>
        <w:rPr>
          <w:rFonts w:asciiTheme="minorEastAsia" w:eastAsiaTheme="minorEastAsia" w:hAnsiTheme="minorEastAsia" w:cs="맑은 고딕"/>
          <w:sz w:val="20"/>
          <w:szCs w:val="20"/>
          <w:lang w:eastAsia="ko-KR"/>
        </w:rPr>
      </w:pPr>
    </w:p>
    <w:p w14:paraId="0DE4786B" w14:textId="77777777" w:rsidR="00490A7A" w:rsidRPr="002C7F14" w:rsidRDefault="00490A7A" w:rsidP="006B41D1">
      <w:pPr>
        <w:pStyle w:val="a8"/>
        <w:numPr>
          <w:ilvl w:val="0"/>
          <w:numId w:val="65"/>
        </w:numPr>
        <w:tabs>
          <w:tab w:val="left" w:pos="1134"/>
          <w:tab w:val="left" w:pos="2127"/>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시험자로부터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안전성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효과와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검토하고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0EC6249" w14:textId="77777777"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528A9345" w14:textId="578353F3" w:rsidR="00710874" w:rsidRPr="002C7F14" w:rsidRDefault="00490A7A" w:rsidP="00490A7A">
      <w:pPr>
        <w:pStyle w:val="a8"/>
        <w:numPr>
          <w:ilvl w:val="0"/>
          <w:numId w:val="61"/>
        </w:numPr>
        <w:spacing w:line="264" w:lineRule="auto"/>
        <w:ind w:leftChars="0" w:left="28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w:t>
      </w:r>
    </w:p>
    <w:p w14:paraId="475D8BA1" w14:textId="77777777"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39FABF5F" w14:textId="13E15A9A" w:rsidR="00490A7A" w:rsidRPr="002C7F14" w:rsidRDefault="00490A7A" w:rsidP="006B41D1">
      <w:pPr>
        <w:pStyle w:val="a8"/>
        <w:numPr>
          <w:ilvl w:val="0"/>
          <w:numId w:val="66"/>
        </w:numPr>
        <w:tabs>
          <w:tab w:val="left" w:pos="1134"/>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안전성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프로토콜에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여부와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관계없이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심각한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이상사례를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즉시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이상사례를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유발했을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합리적인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가능성이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여부에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포함시켜야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심각하지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이상사례를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프로토콜에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638C7B99" w14:textId="77777777" w:rsidR="00490A7A" w:rsidRPr="002C7F14" w:rsidRDefault="00490A7A" w:rsidP="00490A7A">
      <w:pPr>
        <w:pStyle w:val="a8"/>
        <w:tabs>
          <w:tab w:val="left" w:pos="1134"/>
        </w:tabs>
        <w:spacing w:line="264" w:lineRule="auto"/>
        <w:ind w:leftChars="0" w:left="709"/>
        <w:jc w:val="both"/>
        <w:rPr>
          <w:rFonts w:asciiTheme="minorEastAsia" w:eastAsiaTheme="minorEastAsia" w:hAnsiTheme="minorEastAsia" w:cs="맑은 고딕"/>
          <w:sz w:val="20"/>
          <w:szCs w:val="20"/>
          <w:lang w:eastAsia="ko-KR"/>
        </w:rPr>
      </w:pPr>
    </w:p>
    <w:p w14:paraId="1127219A" w14:textId="1F6E7F7D" w:rsidR="00490A7A" w:rsidRPr="002C7F14" w:rsidRDefault="00490A7A" w:rsidP="006B41D1">
      <w:pPr>
        <w:pStyle w:val="a8"/>
        <w:numPr>
          <w:ilvl w:val="0"/>
          <w:numId w:val="66"/>
        </w:numPr>
        <w:tabs>
          <w:tab w:val="left" w:pos="1134"/>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완료한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책임자에게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1770C80" w14:textId="0F276491"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4672CD91" w14:textId="77777777" w:rsidR="00490A7A" w:rsidRPr="002C7F14" w:rsidRDefault="00490A7A" w:rsidP="00490A7A">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UV </w:t>
      </w:r>
      <w:r w:rsidRPr="002C7F14">
        <w:rPr>
          <w:rFonts w:asciiTheme="minorEastAsia" w:eastAsiaTheme="minorEastAsia" w:hAnsiTheme="minorEastAsia" w:cs="맑은 고딕" w:hint="eastAsia"/>
          <w:sz w:val="20"/>
          <w:szCs w:val="20"/>
          <w:lang w:eastAsia="ko-KR"/>
        </w:rPr>
        <w:t>광원</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w:t>
      </w:r>
      <w:r w:rsidRPr="002C7F14">
        <w:rPr>
          <w:rFonts w:asciiTheme="minorEastAsia" w:eastAsiaTheme="minorEastAsia" w:hAnsiTheme="minorEastAsia" w:cs="맑은 고딕"/>
          <w:sz w:val="20"/>
          <w:szCs w:val="20"/>
          <w:lang w:eastAsia="ko-KR"/>
        </w:rPr>
        <w:t>)</w:t>
      </w:r>
    </w:p>
    <w:p w14:paraId="3D44FE28" w14:textId="77777777"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1AD70D24" w14:textId="77777777" w:rsidR="00490A7A" w:rsidRPr="002C7F14" w:rsidRDefault="00490A7A" w:rsidP="006B41D1">
      <w:pPr>
        <w:pStyle w:val="a8"/>
        <w:numPr>
          <w:ilvl w:val="0"/>
          <w:numId w:val="67"/>
        </w:numPr>
        <w:tabs>
          <w:tab w:val="left" w:pos="993"/>
        </w:tabs>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방출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필터링하여</w:t>
      </w:r>
      <w:r w:rsidRPr="002C7F14">
        <w:rPr>
          <w:rFonts w:asciiTheme="minorEastAsia" w:eastAsiaTheme="minorEastAsia" w:hAnsiTheme="minorEastAsia" w:cs="맑은 고딕"/>
          <w:sz w:val="20"/>
          <w:szCs w:val="20"/>
          <w:lang w:eastAsia="ko-KR"/>
        </w:rPr>
        <w:t xml:space="preserve"> 290~400 </w:t>
      </w:r>
      <w:r w:rsidRPr="002C7F14">
        <w:rPr>
          <w:rFonts w:asciiTheme="minorEastAsia" w:eastAsiaTheme="minorEastAsia" w:hAnsiTheme="minorEastAsia" w:cs="맑은 고딕" w:hint="eastAsia"/>
          <w:sz w:val="20"/>
          <w:szCs w:val="20"/>
          <w:lang w:eastAsia="ko-KR"/>
        </w:rPr>
        <w:t>나노미터</w:t>
      </w:r>
      <w:r w:rsidRPr="002C7F14">
        <w:rPr>
          <w:rFonts w:asciiTheme="minorEastAsia" w:eastAsiaTheme="minorEastAsia" w:hAnsiTheme="minorEastAsia" w:cs="맑은 고딕"/>
          <w:sz w:val="20"/>
          <w:szCs w:val="20"/>
          <w:lang w:eastAsia="ko-KR"/>
        </w:rPr>
        <w:t>(nm)</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연속</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제공하고</w:t>
      </w:r>
      <w:r w:rsidRPr="002C7F14">
        <w:rPr>
          <w:rFonts w:asciiTheme="minorEastAsia" w:eastAsiaTheme="minorEastAsia" w:hAnsiTheme="minorEastAsia" w:cs="맑은 고딕"/>
          <w:sz w:val="20"/>
          <w:szCs w:val="20"/>
          <w:lang w:eastAsia="ko-KR"/>
        </w:rPr>
        <w:t>, 250~1,400 nm</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광량이</w:t>
      </w:r>
      <w:r w:rsidRPr="002C7F14">
        <w:rPr>
          <w:rFonts w:asciiTheme="minorEastAsia" w:eastAsiaTheme="minorEastAsia" w:hAnsiTheme="minorEastAsia" w:cs="맑은 고딕"/>
          <w:sz w:val="20"/>
          <w:szCs w:val="20"/>
          <w:lang w:eastAsia="ko-KR"/>
        </w:rPr>
        <w:t xml:space="preserve"> 1,500 </w:t>
      </w:r>
      <w:r w:rsidRPr="002C7F14">
        <w:rPr>
          <w:rFonts w:asciiTheme="minorEastAsia" w:eastAsiaTheme="minorEastAsia" w:hAnsiTheme="minorEastAsia" w:cs="맑은 고딕" w:hint="eastAsia"/>
          <w:sz w:val="20"/>
          <w:szCs w:val="20"/>
          <w:lang w:eastAsia="ko-KR"/>
        </w:rPr>
        <w:t>와트</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제곱미터</w:t>
      </w:r>
      <w:r w:rsidRPr="002C7F14">
        <w:rPr>
          <w:rFonts w:asciiTheme="minorEastAsia" w:eastAsiaTheme="minorEastAsia" w:hAnsiTheme="minorEastAsia" w:cs="맑은 고딕"/>
          <w:sz w:val="20"/>
          <w:szCs w:val="20"/>
          <w:lang w:eastAsia="ko-KR"/>
        </w:rPr>
        <w:t>(W/m</w:t>
      </w:r>
      <w:r w:rsidRPr="002C7F14">
        <w:rPr>
          <w:rFonts w:asciiTheme="minorEastAsia" w:eastAsiaTheme="minorEastAsia" w:hAnsiTheme="minorEastAsia" w:cs="맑은 고딕" w:hint="eastAsia"/>
          <w:sz w:val="20"/>
          <w:szCs w:val="20"/>
          <w:lang w:eastAsia="ko-KR"/>
        </w:rPr>
        <w:t>²</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초과하지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71FD1EE" w14:textId="77777777"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2AC5659D" w14:textId="77777777" w:rsidR="00490A7A" w:rsidRPr="002C7F14" w:rsidRDefault="00490A7A" w:rsidP="006B41D1">
      <w:pPr>
        <w:pStyle w:val="a8"/>
        <w:numPr>
          <w:ilvl w:val="0"/>
          <w:numId w:val="68"/>
        </w:numPr>
        <w:tabs>
          <w:tab w:val="left" w:pos="1134"/>
        </w:tabs>
        <w:spacing w:line="264" w:lineRule="auto"/>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범위에서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비율의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가져야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1D7FCD1" w14:textId="77777777" w:rsidR="00490A7A" w:rsidRPr="002C7F14" w:rsidRDefault="00490A7A" w:rsidP="00490A7A">
      <w:pPr>
        <w:pStyle w:val="a8"/>
        <w:tabs>
          <w:tab w:val="left" w:pos="2127"/>
        </w:tabs>
        <w:spacing w:line="264" w:lineRule="auto"/>
        <w:ind w:leftChars="0" w:left="0"/>
        <w:jc w:val="both"/>
        <w:rPr>
          <w:rFonts w:asciiTheme="minorEastAsia" w:eastAsiaTheme="minorEastAsia" w:hAnsiTheme="minorEastAsia" w:cs="맑은 고딕"/>
          <w:sz w:val="20"/>
          <w:szCs w:val="20"/>
          <w:lang w:eastAsia="ko-KR"/>
        </w:rPr>
      </w:pPr>
    </w:p>
    <w:p w14:paraId="7549CEE3" w14:textId="060AD464" w:rsidR="00490A7A" w:rsidRPr="002C7F14" w:rsidRDefault="00490A7A" w:rsidP="00490A7A">
      <w:pPr>
        <w:pStyle w:val="a8"/>
        <w:tabs>
          <w:tab w:val="left" w:pos="2127"/>
        </w:tabs>
        <w:spacing w:line="264" w:lineRule="auto"/>
        <w:ind w:leftChars="0" w:left="0"/>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M020.80(b)(1)(i)</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490A7A" w:rsidRPr="002C7F14" w14:paraId="51881531" w14:textId="77777777" w:rsidTr="00112A1B">
        <w:trPr>
          <w:trHeight w:val="455"/>
        </w:trPr>
        <w:tc>
          <w:tcPr>
            <w:tcW w:w="3969" w:type="dxa"/>
            <w:vAlign w:val="bottom"/>
          </w:tcPr>
          <w:p w14:paraId="45DB58E0" w14:textId="0018EDA3" w:rsidR="00490A7A" w:rsidRPr="002C7F14" w:rsidRDefault="00490A7A" w:rsidP="00490A7A">
            <w:pPr>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lang w:eastAsia="ko-KR"/>
              </w:rPr>
              <w:t>파장</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범위</w:t>
            </w:r>
            <w:r w:rsidRPr="002C7F14">
              <w:rPr>
                <w:rFonts w:asciiTheme="minorEastAsia" w:eastAsiaTheme="minorEastAsia" w:hAnsiTheme="minorEastAsia"/>
                <w:sz w:val="20"/>
                <w:lang w:eastAsia="ko-KR"/>
              </w:rPr>
              <w:t>(nm)</w:t>
            </w:r>
          </w:p>
        </w:tc>
        <w:tc>
          <w:tcPr>
            <w:tcW w:w="3969" w:type="dxa"/>
            <w:vAlign w:val="bottom"/>
          </w:tcPr>
          <w:p w14:paraId="0AED6D55" w14:textId="576138DE" w:rsidR="00490A7A" w:rsidRPr="002C7F14" w:rsidRDefault="00490A7A" w:rsidP="00490A7A">
            <w:pPr>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lang w:eastAsia="ko-KR"/>
              </w:rPr>
              <w:t>홍반</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기여도</w:t>
            </w:r>
            <w:r w:rsidRPr="002C7F14">
              <w:rPr>
                <w:rFonts w:asciiTheme="minorEastAsia" w:eastAsiaTheme="minorEastAsia" w:hAnsiTheme="minorEastAsia"/>
                <w:sz w:val="20"/>
                <w:vertAlign w:val="superscript"/>
                <w:lang w:eastAsia="ko-KR"/>
              </w:rPr>
              <w:t>1</w:t>
            </w:r>
          </w:p>
        </w:tc>
      </w:tr>
      <w:tr w:rsidR="00490A7A" w:rsidRPr="002C7F14" w14:paraId="383F027E" w14:textId="77777777" w:rsidTr="00112A1B">
        <w:trPr>
          <w:trHeight w:val="455"/>
        </w:trPr>
        <w:tc>
          <w:tcPr>
            <w:tcW w:w="3969" w:type="dxa"/>
          </w:tcPr>
          <w:p w14:paraId="6CA1E54B" w14:textId="47CF6E65"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&lt;290</w:t>
            </w:r>
          </w:p>
        </w:tc>
        <w:tc>
          <w:tcPr>
            <w:tcW w:w="3969" w:type="dxa"/>
            <w:vAlign w:val="center"/>
          </w:tcPr>
          <w:p w14:paraId="19E66F0D" w14:textId="7BCB06AF" w:rsidR="00490A7A" w:rsidRPr="002C7F14" w:rsidRDefault="00490A7A" w:rsidP="00490A7A">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&lt;0.1</w:t>
            </w:r>
          </w:p>
        </w:tc>
      </w:tr>
      <w:tr w:rsidR="00490A7A" w:rsidRPr="002C7F14" w14:paraId="0417CABE" w14:textId="77777777" w:rsidTr="00112A1B">
        <w:trPr>
          <w:trHeight w:val="455"/>
        </w:trPr>
        <w:tc>
          <w:tcPr>
            <w:tcW w:w="3969" w:type="dxa"/>
          </w:tcPr>
          <w:p w14:paraId="644F5B29" w14:textId="36CC5A4A"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290-300</w:t>
            </w:r>
          </w:p>
        </w:tc>
        <w:tc>
          <w:tcPr>
            <w:tcW w:w="3969" w:type="dxa"/>
            <w:vAlign w:val="center"/>
          </w:tcPr>
          <w:p w14:paraId="5369275C" w14:textId="58B0A651" w:rsidR="00490A7A" w:rsidRPr="002C7F14" w:rsidRDefault="00490A7A" w:rsidP="00490A7A">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1.0-8.0</w:t>
            </w:r>
          </w:p>
        </w:tc>
      </w:tr>
      <w:tr w:rsidR="00490A7A" w:rsidRPr="002C7F14" w14:paraId="0DFEE162" w14:textId="77777777" w:rsidTr="00112A1B">
        <w:trPr>
          <w:trHeight w:val="455"/>
        </w:trPr>
        <w:tc>
          <w:tcPr>
            <w:tcW w:w="3969" w:type="dxa"/>
          </w:tcPr>
          <w:p w14:paraId="1FC99818" w14:textId="0BE95EAD"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290-310</w:t>
            </w:r>
          </w:p>
        </w:tc>
        <w:tc>
          <w:tcPr>
            <w:tcW w:w="3969" w:type="dxa"/>
            <w:vAlign w:val="center"/>
          </w:tcPr>
          <w:p w14:paraId="13DC859F" w14:textId="12E1BFE2" w:rsidR="00490A7A" w:rsidRPr="002C7F14" w:rsidRDefault="00490A7A" w:rsidP="00490A7A">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49.0-65.0</w:t>
            </w:r>
          </w:p>
        </w:tc>
      </w:tr>
      <w:tr w:rsidR="00490A7A" w:rsidRPr="002C7F14" w14:paraId="5DBC5587" w14:textId="77777777" w:rsidTr="00112A1B">
        <w:trPr>
          <w:trHeight w:val="455"/>
        </w:trPr>
        <w:tc>
          <w:tcPr>
            <w:tcW w:w="3969" w:type="dxa"/>
          </w:tcPr>
          <w:p w14:paraId="06191E0F" w14:textId="798AFAF1"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290-320</w:t>
            </w:r>
          </w:p>
        </w:tc>
        <w:tc>
          <w:tcPr>
            <w:tcW w:w="3969" w:type="dxa"/>
            <w:vAlign w:val="center"/>
          </w:tcPr>
          <w:p w14:paraId="0CA2D46F" w14:textId="63C9F871" w:rsidR="00490A7A" w:rsidRPr="002C7F14" w:rsidRDefault="00490A7A" w:rsidP="00490A7A">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85.0-90.0</w:t>
            </w:r>
          </w:p>
        </w:tc>
      </w:tr>
      <w:tr w:rsidR="00490A7A" w:rsidRPr="002C7F14" w14:paraId="34FC490C" w14:textId="77777777" w:rsidTr="00112A1B">
        <w:trPr>
          <w:trHeight w:val="455"/>
        </w:trPr>
        <w:tc>
          <w:tcPr>
            <w:tcW w:w="3969" w:type="dxa"/>
          </w:tcPr>
          <w:p w14:paraId="1D2A0685" w14:textId="564D01DB"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290-330</w:t>
            </w:r>
          </w:p>
        </w:tc>
        <w:tc>
          <w:tcPr>
            <w:tcW w:w="3969" w:type="dxa"/>
            <w:vAlign w:val="center"/>
          </w:tcPr>
          <w:p w14:paraId="7048D40F" w14:textId="634D2398" w:rsidR="00490A7A" w:rsidRPr="002C7F14" w:rsidRDefault="00490A7A" w:rsidP="00490A7A">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91.5-95.5</w:t>
            </w:r>
          </w:p>
        </w:tc>
      </w:tr>
      <w:tr w:rsidR="00490A7A" w:rsidRPr="002C7F14" w14:paraId="6656FE5A" w14:textId="77777777" w:rsidTr="00112A1B">
        <w:trPr>
          <w:trHeight w:val="455"/>
        </w:trPr>
        <w:tc>
          <w:tcPr>
            <w:tcW w:w="3969" w:type="dxa"/>
          </w:tcPr>
          <w:p w14:paraId="4D8B261A" w14:textId="215B73C9"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290-340</w:t>
            </w:r>
          </w:p>
        </w:tc>
        <w:tc>
          <w:tcPr>
            <w:tcW w:w="3969" w:type="dxa"/>
            <w:vAlign w:val="center"/>
          </w:tcPr>
          <w:p w14:paraId="6E419DFE" w14:textId="4C759945" w:rsidR="00490A7A" w:rsidRPr="002C7F14" w:rsidRDefault="00490A7A" w:rsidP="00490A7A">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94.0-97.0</w:t>
            </w:r>
          </w:p>
        </w:tc>
      </w:tr>
      <w:tr w:rsidR="00490A7A" w:rsidRPr="002C7F14" w14:paraId="5DB30B78" w14:textId="77777777" w:rsidTr="00112A1B">
        <w:trPr>
          <w:trHeight w:val="455"/>
        </w:trPr>
        <w:tc>
          <w:tcPr>
            <w:tcW w:w="3969" w:type="dxa"/>
          </w:tcPr>
          <w:p w14:paraId="32689DE2" w14:textId="5685CF32" w:rsidR="00490A7A" w:rsidRPr="002C7F14" w:rsidRDefault="00490A7A" w:rsidP="00490A7A">
            <w:pPr>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290-400</w:t>
            </w:r>
          </w:p>
        </w:tc>
        <w:tc>
          <w:tcPr>
            <w:tcW w:w="3969" w:type="dxa"/>
          </w:tcPr>
          <w:p w14:paraId="727DC31C" w14:textId="666A96EA" w:rsidR="00490A7A" w:rsidRPr="002C7F14" w:rsidRDefault="00490A7A" w:rsidP="00112A1B">
            <w:pPr>
              <w:jc w:val="right"/>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20"/>
                <w:lang w:eastAsia="ko-KR"/>
              </w:rPr>
              <w:t>99.9-100.0</w:t>
            </w:r>
          </w:p>
        </w:tc>
      </w:tr>
    </w:tbl>
    <w:p w14:paraId="2D6D0CE1" w14:textId="77777777" w:rsidR="00490A7A" w:rsidRPr="002C7F14" w:rsidRDefault="00490A7A" w:rsidP="00D14F24">
      <w:pPr>
        <w:pStyle w:val="a8"/>
        <w:tabs>
          <w:tab w:val="left" w:pos="2127"/>
        </w:tabs>
        <w:ind w:leftChars="0" w:left="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vertAlign w:val="superscript"/>
          <w:lang w:eastAsia="ko-KR"/>
        </w:rPr>
        <w:t>1</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M020.80(b)(2)</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w:t>
      </w:r>
      <w:r w:rsidRPr="002C7F14">
        <w:rPr>
          <w:rFonts w:asciiTheme="minorEastAsia" w:eastAsiaTheme="minorEastAsia" w:hAnsiTheme="minorEastAsia" w:cs="맑은 고딕"/>
          <w:sz w:val="20"/>
          <w:szCs w:val="20"/>
          <w:lang w:eastAsia="ko-KR"/>
        </w:rPr>
        <w:t>.</w:t>
      </w:r>
    </w:p>
    <w:p w14:paraId="1A4B5023" w14:textId="564E0E41" w:rsidR="00490A7A" w:rsidRPr="002C7F14" w:rsidRDefault="00490A7A" w:rsidP="00D14F24">
      <w:pPr>
        <w:jc w:val="both"/>
        <w:rPr>
          <w:rFonts w:asciiTheme="minorEastAsia" w:eastAsiaTheme="minorEastAsia" w:hAnsiTheme="minorEastAsia" w:cs="맑은 고딕"/>
          <w:sz w:val="20"/>
          <w:szCs w:val="20"/>
          <w:lang w:eastAsia="ko-KR"/>
        </w:rPr>
      </w:pPr>
    </w:p>
    <w:p w14:paraId="19F39007" w14:textId="77777777" w:rsidR="00C95E04" w:rsidRPr="002C7F14" w:rsidRDefault="00C95E04" w:rsidP="006B41D1">
      <w:pPr>
        <w:pStyle w:val="a8"/>
        <w:numPr>
          <w:ilvl w:val="0"/>
          <w:numId w:val="68"/>
        </w:numPr>
        <w:tabs>
          <w:tab w:val="left" w:pos="1134"/>
        </w:tabs>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또한</w:t>
      </w:r>
      <w:r w:rsidRPr="002C7F14">
        <w:rPr>
          <w:rFonts w:asciiTheme="minorEastAsia" w:eastAsiaTheme="minorEastAsia" w:hAnsiTheme="minorEastAsia" w:cs="맑은 고딕"/>
          <w:sz w:val="20"/>
          <w:szCs w:val="20"/>
          <w:lang w:eastAsia="ko-KR"/>
        </w:rPr>
        <w:t xml:space="preserve"> UVA II(320-340 nm) </w:t>
      </w:r>
      <w:r w:rsidRPr="002C7F14">
        <w:rPr>
          <w:rFonts w:asciiTheme="minorEastAsia" w:eastAsiaTheme="minorEastAsia" w:hAnsiTheme="minorEastAsia" w:cs="맑은 고딕" w:hint="eastAsia"/>
          <w:sz w:val="20"/>
          <w:szCs w:val="20"/>
          <w:lang w:eastAsia="ko-KR"/>
        </w:rPr>
        <w:t>광량은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UV(290-400 nm) </w:t>
      </w:r>
      <w:r w:rsidRPr="002C7F14">
        <w:rPr>
          <w:rFonts w:asciiTheme="minorEastAsia" w:eastAsiaTheme="minorEastAsia" w:hAnsiTheme="minorEastAsia" w:cs="맑은 고딕" w:hint="eastAsia"/>
          <w:sz w:val="20"/>
          <w:szCs w:val="20"/>
          <w:lang w:eastAsia="ko-KR"/>
        </w:rPr>
        <w:t>광량의</w:t>
      </w:r>
      <w:r w:rsidRPr="002C7F14">
        <w:rPr>
          <w:rFonts w:asciiTheme="minorEastAsia" w:eastAsiaTheme="minorEastAsia" w:hAnsiTheme="minorEastAsia" w:cs="맑은 고딕"/>
          <w:sz w:val="20"/>
          <w:szCs w:val="20"/>
          <w:lang w:eastAsia="ko-KR"/>
        </w:rPr>
        <w:t xml:space="preserve"> 20% </w:t>
      </w:r>
      <w:r w:rsidRPr="002C7F14">
        <w:rPr>
          <w:rFonts w:asciiTheme="minorEastAsia" w:eastAsiaTheme="minorEastAsia" w:hAnsiTheme="minorEastAsia" w:cs="맑은 고딕" w:hint="eastAsia"/>
          <w:sz w:val="20"/>
          <w:szCs w:val="20"/>
          <w:lang w:eastAsia="ko-KR"/>
        </w:rPr>
        <w:t>이상이어야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UVA I(340-400 nm) </w:t>
      </w:r>
      <w:r w:rsidRPr="002C7F14">
        <w:rPr>
          <w:rFonts w:asciiTheme="minorEastAsia" w:eastAsiaTheme="minorEastAsia" w:hAnsiTheme="minorEastAsia" w:cs="맑은 고딕" w:hint="eastAsia"/>
          <w:sz w:val="20"/>
          <w:szCs w:val="20"/>
          <w:lang w:eastAsia="ko-KR"/>
        </w:rPr>
        <w:t>광량은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광량의</w:t>
      </w:r>
      <w:r w:rsidRPr="002C7F14">
        <w:rPr>
          <w:rFonts w:asciiTheme="minorEastAsia" w:eastAsiaTheme="minorEastAsia" w:hAnsiTheme="minorEastAsia" w:cs="맑은 고딕"/>
          <w:sz w:val="20"/>
          <w:szCs w:val="20"/>
          <w:lang w:eastAsia="ko-KR"/>
        </w:rPr>
        <w:t xml:space="preserve"> 60% </w:t>
      </w:r>
      <w:r w:rsidRPr="002C7F14">
        <w:rPr>
          <w:rFonts w:asciiTheme="minorEastAsia" w:eastAsiaTheme="minorEastAsia" w:hAnsiTheme="minorEastAsia" w:cs="맑은 고딕" w:hint="eastAsia"/>
          <w:sz w:val="20"/>
          <w:szCs w:val="20"/>
          <w:lang w:eastAsia="ko-KR"/>
        </w:rPr>
        <w:t>이상이어야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2FE92E4B" w14:textId="77777777" w:rsidR="00C95E04" w:rsidRPr="002C7F14" w:rsidRDefault="00C95E04" w:rsidP="00D14F24">
      <w:pPr>
        <w:jc w:val="both"/>
        <w:rPr>
          <w:rFonts w:asciiTheme="minorEastAsia" w:eastAsiaTheme="minorEastAsia" w:hAnsiTheme="minorEastAsia" w:cs="맑은 고딕"/>
          <w:sz w:val="20"/>
          <w:szCs w:val="20"/>
          <w:lang w:eastAsia="ko-KR"/>
        </w:rPr>
      </w:pPr>
    </w:p>
    <w:p w14:paraId="1FA1AD3E" w14:textId="77777777" w:rsidR="00C95E04" w:rsidRPr="002C7F14" w:rsidRDefault="00C95E04" w:rsidP="006B41D1">
      <w:pPr>
        <w:pStyle w:val="a8"/>
        <w:numPr>
          <w:ilvl w:val="0"/>
          <w:numId w:val="67"/>
        </w:numPr>
        <w:tabs>
          <w:tab w:val="left" w:pos="993"/>
        </w:tabs>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p>
    <w:p w14:paraId="187FEDA1" w14:textId="77777777" w:rsidR="00C95E04" w:rsidRPr="002C7F14" w:rsidRDefault="00C95E04" w:rsidP="00D14F24">
      <w:pPr>
        <w:jc w:val="both"/>
        <w:rPr>
          <w:rFonts w:asciiTheme="minorEastAsia" w:eastAsiaTheme="minorEastAsia" w:hAnsiTheme="minorEastAsia" w:cs="맑은 고딕"/>
          <w:sz w:val="20"/>
          <w:szCs w:val="20"/>
          <w:lang w:eastAsia="ko-KR"/>
        </w:rPr>
      </w:pPr>
    </w:p>
    <w:p w14:paraId="24CAFF34" w14:textId="630D7635" w:rsidR="00490A7A" w:rsidRPr="002C7F14" w:rsidRDefault="00C95E04" w:rsidP="006B41D1">
      <w:pPr>
        <w:pStyle w:val="a8"/>
        <w:numPr>
          <w:ilvl w:val="0"/>
          <w:numId w:val="69"/>
        </w:numPr>
        <w:spacing w:afterLines="50" w:after="120"/>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가중계수</w:t>
      </w:r>
      <w:r w:rsidRPr="002C7F14">
        <w:rPr>
          <w:rFonts w:asciiTheme="minorEastAsia" w:eastAsiaTheme="minorEastAsia" w:hAnsiTheme="minorEastAsia" w:cs="맑은 고딕"/>
          <w:sz w:val="20"/>
          <w:szCs w:val="20"/>
          <w:lang w:eastAsia="ko-KR"/>
        </w:rPr>
        <w:t>(Vi)</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p>
    <w:p w14:paraId="2CF98187" w14:textId="7450C25A" w:rsidR="00D14F24" w:rsidRPr="002C7F14" w:rsidRDefault="00D14F24" w:rsidP="006B41D1">
      <w:pPr>
        <w:pStyle w:val="a8"/>
        <w:numPr>
          <w:ilvl w:val="0"/>
          <w:numId w:val="70"/>
        </w:numPr>
        <w:spacing w:afterLines="50" w:after="120"/>
        <w:ind w:leftChars="0" w:left="156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V</w:t>
      </w:r>
      <w:r w:rsidRPr="002C7F14">
        <w:rPr>
          <w:rFonts w:asciiTheme="minorEastAsia" w:eastAsiaTheme="minorEastAsia" w:hAnsiTheme="minorEastAsia" w:cs="맑은 고딕"/>
          <w:sz w:val="20"/>
          <w:szCs w:val="20"/>
          <w:vertAlign w:val="subscript"/>
          <w:lang w:eastAsia="ko-KR"/>
        </w:rPr>
        <w:t>i</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 1.0 (250 &lt;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298 nm)</w:t>
      </w:r>
    </w:p>
    <w:p w14:paraId="226DDB5A" w14:textId="2E847EC3" w:rsidR="00D14F24" w:rsidRPr="002C7F14" w:rsidRDefault="00D14F24" w:rsidP="006B41D1">
      <w:pPr>
        <w:pStyle w:val="a8"/>
        <w:numPr>
          <w:ilvl w:val="0"/>
          <w:numId w:val="70"/>
        </w:numPr>
        <w:spacing w:afterLines="50" w:after="120"/>
        <w:ind w:leftChars="0" w:left="156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V</w:t>
      </w:r>
      <w:r w:rsidRPr="002C7F14">
        <w:rPr>
          <w:rFonts w:asciiTheme="minorEastAsia" w:eastAsiaTheme="minorEastAsia" w:hAnsiTheme="minorEastAsia" w:cs="맑은 고딕"/>
          <w:sz w:val="20"/>
          <w:szCs w:val="20"/>
          <w:vertAlign w:val="subscript"/>
          <w:lang w:eastAsia="ko-KR"/>
        </w:rPr>
        <w:t>i</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 10</w:t>
      </w:r>
      <w:r w:rsidRPr="002C7F14">
        <w:rPr>
          <w:rFonts w:asciiTheme="minorEastAsia" w:eastAsiaTheme="minorEastAsia" w:hAnsiTheme="minorEastAsia" w:cs="맑은 고딕"/>
          <w:sz w:val="20"/>
          <w:szCs w:val="20"/>
          <w:vertAlign w:val="superscript"/>
          <w:lang w:eastAsia="ko-KR"/>
        </w:rPr>
        <w:t>0.094</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sz w:val="20"/>
          <w:szCs w:val="20"/>
          <w:vertAlign w:val="superscript"/>
          <w:lang w:eastAsia="ko-KR"/>
        </w:rPr>
        <w:t>298</w:t>
      </w:r>
      <w:r w:rsidRPr="002C7F14">
        <w:rPr>
          <w:rFonts w:ascii="바탕" w:eastAsia="바탕" w:hAnsi="바탕" w:cs="바탕" w:hint="eastAsia"/>
          <w:sz w:val="20"/>
          <w:szCs w:val="20"/>
          <w:lang w:eastAsia="ko-KR"/>
        </w:rPr>
        <w: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(298 &lt;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328 nm)</w:t>
      </w:r>
    </w:p>
    <w:p w14:paraId="634CD71D" w14:textId="6858B834" w:rsidR="00D14F24" w:rsidRPr="002C7F14" w:rsidRDefault="00D14F24" w:rsidP="006B41D1">
      <w:pPr>
        <w:pStyle w:val="a8"/>
        <w:numPr>
          <w:ilvl w:val="0"/>
          <w:numId w:val="70"/>
        </w:numPr>
        <w:spacing w:afterLines="100" w:after="240"/>
        <w:ind w:leftChars="0" w:left="156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V</w:t>
      </w:r>
      <w:r w:rsidRPr="002C7F14">
        <w:rPr>
          <w:rFonts w:asciiTheme="minorEastAsia" w:eastAsiaTheme="minorEastAsia" w:hAnsiTheme="minorEastAsia" w:cs="맑은 고딕"/>
          <w:sz w:val="20"/>
          <w:szCs w:val="20"/>
          <w:vertAlign w:val="subscript"/>
          <w:lang w:eastAsia="ko-KR"/>
        </w:rPr>
        <w:t>i</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 10</w:t>
      </w:r>
      <w:r w:rsidRPr="002C7F14">
        <w:rPr>
          <w:rFonts w:asciiTheme="minorEastAsia" w:eastAsiaTheme="minorEastAsia" w:hAnsiTheme="minorEastAsia" w:cs="맑은 고딕"/>
          <w:sz w:val="20"/>
          <w:szCs w:val="20"/>
          <w:vertAlign w:val="superscript"/>
          <w:lang w:eastAsia="ko-KR"/>
        </w:rPr>
        <w:t>0.015</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sz w:val="20"/>
          <w:szCs w:val="20"/>
          <w:vertAlign w:val="superscript"/>
          <w:lang w:eastAsia="ko-KR"/>
        </w:rPr>
        <w:t>140</w:t>
      </w:r>
      <w:r w:rsidRPr="002C7F14">
        <w:rPr>
          <w:rFonts w:ascii="바탕" w:eastAsia="바탕" w:hAnsi="바탕" w:cs="바탕" w:hint="eastAsia"/>
          <w:sz w:val="20"/>
          <w:szCs w:val="20"/>
          <w:lang w:eastAsia="ko-KR"/>
        </w:rPr>
        <w: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(328 &lt;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400 nm)</w:t>
      </w:r>
    </w:p>
    <w:p w14:paraId="15E56128" w14:textId="77777777" w:rsidR="00D14F24" w:rsidRPr="002C7F14" w:rsidRDefault="00D14F24" w:rsidP="006B41D1">
      <w:pPr>
        <w:pStyle w:val="a8"/>
        <w:numPr>
          <w:ilvl w:val="0"/>
          <w:numId w:val="69"/>
        </w:numPr>
        <w:tabs>
          <w:tab w:val="left" w:pos="1134"/>
        </w:tabs>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선량</w:t>
      </w:r>
      <w:r w:rsidRPr="002C7F14">
        <w:rPr>
          <w:rFonts w:asciiTheme="minorEastAsia" w:eastAsiaTheme="minorEastAsia" w:hAnsiTheme="minorEastAsia" w:cs="맑은 고딕"/>
          <w:sz w:val="20"/>
          <w:szCs w:val="20"/>
          <w:lang w:eastAsia="ko-KR"/>
        </w:rPr>
        <w:t>(E)</w:t>
      </w:r>
      <w:r w:rsidRPr="002C7F14">
        <w:rPr>
          <w:rFonts w:asciiTheme="minorEastAsia" w:eastAsiaTheme="minorEastAsia" w:hAnsiTheme="minorEastAsia" w:cs="맑은 고딕" w:hint="eastAsia"/>
          <w:sz w:val="20"/>
          <w:szCs w:val="20"/>
          <w:lang w:eastAsia="ko-KR"/>
        </w:rPr>
        <w:t>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w:t>
      </w:r>
    </w:p>
    <w:p w14:paraId="03CE0C4F" w14:textId="77777777" w:rsidR="00490A7A" w:rsidRPr="002C7F14" w:rsidRDefault="00490A7A" w:rsidP="00EF791F">
      <w:pPr>
        <w:spacing w:line="264" w:lineRule="auto"/>
        <w:jc w:val="both"/>
        <w:rPr>
          <w:rFonts w:asciiTheme="minorEastAsia" w:eastAsiaTheme="minorEastAsia" w:hAnsiTheme="minorEastAsia" w:cs="맑은 고딕"/>
          <w:sz w:val="20"/>
          <w:szCs w:val="20"/>
          <w:lang w:eastAsia="ko-KR"/>
        </w:rPr>
      </w:pPr>
    </w:p>
    <w:p w14:paraId="52FD1982" w14:textId="24097C6C" w:rsidR="00C74C5C" w:rsidRPr="002C7F14" w:rsidRDefault="00D14F24" w:rsidP="00D14F24">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szCs w:val="20"/>
          <w:lang w:eastAsia="ko-KR"/>
        </w:rPr>
        <w:drawing>
          <wp:inline distT="0" distB="0" distL="0" distR="0" wp14:anchorId="1AF7003F" wp14:editId="10D12F88">
            <wp:extent cx="2352675" cy="723900"/>
            <wp:effectExtent l="0" t="0" r="9525"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52675" cy="723900"/>
                    </a:xfrm>
                    <a:prstGeom prst="rect">
                      <a:avLst/>
                    </a:prstGeom>
                  </pic:spPr>
                </pic:pic>
              </a:graphicData>
            </a:graphic>
          </wp:inline>
        </w:drawing>
      </w:r>
    </w:p>
    <w:p w14:paraId="3E5BBF8C" w14:textId="167CB6E2" w:rsidR="00D14F24" w:rsidRPr="002C7F14" w:rsidRDefault="00D14F24" w:rsidP="00EF791F">
      <w:pPr>
        <w:spacing w:line="264" w:lineRule="auto"/>
        <w:jc w:val="both"/>
        <w:rPr>
          <w:rFonts w:asciiTheme="minorEastAsia" w:eastAsiaTheme="minorEastAsia" w:hAnsiTheme="minorEastAsia" w:cs="맑은 고딕"/>
          <w:sz w:val="20"/>
          <w:szCs w:val="20"/>
          <w:lang w:eastAsia="ko-KR"/>
        </w:rPr>
      </w:pPr>
    </w:p>
    <w:p w14:paraId="1F4D4E29" w14:textId="77777777" w:rsidR="00D14F24" w:rsidRPr="002C7F14" w:rsidRDefault="00D14F24" w:rsidP="00D14F24">
      <w:pPr>
        <w:spacing w:line="264" w:lineRule="auto"/>
        <w:ind w:leftChars="773" w:left="1701"/>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식에서</w:t>
      </w:r>
    </w:p>
    <w:p w14:paraId="73BC3D34" w14:textId="77777777" w:rsidR="00D14F24" w:rsidRPr="002C7F14" w:rsidRDefault="00D14F24" w:rsidP="00D14F24">
      <w:pPr>
        <w:spacing w:line="264" w:lineRule="auto"/>
        <w:ind w:leftChars="773" w:left="1701"/>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V</w:t>
      </w:r>
      <w:r w:rsidRPr="002C7F14">
        <w:rPr>
          <w:rFonts w:asciiTheme="minorEastAsia" w:eastAsiaTheme="minorEastAsia" w:hAnsiTheme="minorEastAsia" w:cs="맑은 고딕"/>
          <w:sz w:val="20"/>
          <w:szCs w:val="20"/>
          <w:vertAlign w:val="subscript"/>
          <w:lang w:eastAsia="ko-KR"/>
        </w:rPr>
        <w:t>i</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가중계수</w:t>
      </w:r>
      <w:r w:rsidRPr="002C7F14">
        <w:rPr>
          <w:rFonts w:asciiTheme="minorEastAsia" w:eastAsiaTheme="minorEastAsia" w:hAnsiTheme="minorEastAsia" w:cs="맑은 고딕"/>
          <w:sz w:val="20"/>
          <w:szCs w:val="20"/>
          <w:lang w:eastAsia="ko-KR"/>
        </w:rPr>
        <w:t xml:space="preserve"> </w:t>
      </w:r>
    </w:p>
    <w:p w14:paraId="1784EA94" w14:textId="77777777" w:rsidR="00D14F24" w:rsidRPr="002C7F14" w:rsidRDefault="00D14F24" w:rsidP="00D14F24">
      <w:pPr>
        <w:spacing w:line="264" w:lineRule="auto"/>
        <w:ind w:leftChars="773" w:left="1701"/>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I(</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광량</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제곱미터당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와트</w:t>
      </w:r>
      <w:r w:rsidRPr="002C7F14">
        <w:rPr>
          <w:rFonts w:asciiTheme="minorEastAsia" w:eastAsiaTheme="minorEastAsia" w:hAnsiTheme="minorEastAsia" w:cs="맑은 고딕"/>
          <w:sz w:val="20"/>
          <w:szCs w:val="20"/>
          <w:lang w:eastAsia="ko-KR"/>
        </w:rPr>
        <w:t>)</w:t>
      </w:r>
    </w:p>
    <w:p w14:paraId="6127FED0" w14:textId="77777777" w:rsidR="00D14F24" w:rsidRPr="002C7F14" w:rsidRDefault="00D14F24" w:rsidP="00D14F24">
      <w:pPr>
        <w:spacing w:line="264" w:lineRule="auto"/>
        <w:ind w:leftChars="773" w:left="1701"/>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t = </w:t>
      </w:r>
      <w:r w:rsidRPr="002C7F14">
        <w:rPr>
          <w:rFonts w:asciiTheme="minorEastAsia" w:eastAsiaTheme="minorEastAsia" w:hAnsiTheme="minorEastAsia" w:cs="맑은 고딕" w:hint="eastAsia"/>
          <w:sz w:val="20"/>
          <w:szCs w:val="20"/>
          <w:lang w:eastAsia="ko-KR"/>
        </w:rPr>
        <w:t>노출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초</w:t>
      </w:r>
      <w:r w:rsidRPr="002C7F14">
        <w:rPr>
          <w:rFonts w:asciiTheme="minorEastAsia" w:eastAsiaTheme="minorEastAsia" w:hAnsiTheme="minorEastAsia" w:cs="맑은 고딕"/>
          <w:sz w:val="20"/>
          <w:szCs w:val="20"/>
          <w:lang w:eastAsia="ko-KR"/>
        </w:rPr>
        <w:t>)</w:t>
      </w:r>
    </w:p>
    <w:p w14:paraId="5667639A" w14:textId="77777777" w:rsidR="00D14F24" w:rsidRPr="002C7F14" w:rsidRDefault="00D14F24" w:rsidP="00D14F24">
      <w:pPr>
        <w:spacing w:line="264" w:lineRule="auto"/>
        <w:ind w:leftChars="773" w:left="1701"/>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w:t>
      </w:r>
      <w:r w:rsidRPr="002C7F14">
        <w:rPr>
          <w:rFonts w:asciiTheme="minorEastAsia" w:eastAsiaTheme="minorEastAsia" w:hAnsiTheme="minorEastAsia" w:cs="맑은 고딕"/>
          <w:sz w:val="20"/>
          <w:szCs w:val="20"/>
          <w:lang w:eastAsia="ko-KR"/>
        </w:rPr>
        <w:t>(E)</w:t>
      </w:r>
      <w:r w:rsidRPr="002C7F14">
        <w:rPr>
          <w:rFonts w:asciiTheme="minorEastAsia" w:eastAsiaTheme="minorEastAsia" w:hAnsiTheme="minorEastAsia" w:cs="맑은 고딕" w:hint="eastAsia"/>
          <w:sz w:val="20"/>
          <w:szCs w:val="20"/>
          <w:lang w:eastAsia="ko-KR"/>
        </w:rPr>
        <w:t>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제곱미터당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줄</w:t>
      </w:r>
      <w:r w:rsidRPr="002C7F14">
        <w:rPr>
          <w:rFonts w:asciiTheme="minorEastAsia" w:eastAsiaTheme="minorEastAsia" w:hAnsiTheme="minorEastAsia" w:cs="맑은 고딕"/>
          <w:sz w:val="20"/>
          <w:szCs w:val="20"/>
          <w:lang w:eastAsia="ko-KR"/>
        </w:rPr>
        <w:t>(J/m</w:t>
      </w:r>
      <w:r w:rsidRPr="002C7F14">
        <w:rPr>
          <w:rFonts w:asciiTheme="minorEastAsia" w:eastAsiaTheme="minorEastAsia" w:hAnsiTheme="minorEastAsia" w:cs="맑은 고딕"/>
          <w:sz w:val="20"/>
          <w:szCs w:val="20"/>
          <w:vertAlign w:val="superscript"/>
          <w:lang w:eastAsia="ko-KR"/>
        </w:rPr>
        <w:t>2</w:t>
      </w:r>
      <w:r w:rsidRPr="002C7F14">
        <w:rPr>
          <w:rFonts w:asciiTheme="minorEastAsia" w:eastAsiaTheme="minorEastAsia" w:hAnsiTheme="minorEastAsia" w:cs="맑은 고딕"/>
          <w:sz w:val="20"/>
          <w:szCs w:val="20"/>
          <w:lang w:eastAsia="ko-KR"/>
        </w:rPr>
        <w:t>-eff)</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표시한다</w:t>
      </w:r>
      <w:r w:rsidRPr="002C7F14">
        <w:rPr>
          <w:rFonts w:asciiTheme="minorEastAsia" w:eastAsiaTheme="minorEastAsia" w:hAnsiTheme="minorEastAsia" w:cs="맑은 고딕"/>
          <w:sz w:val="20"/>
          <w:szCs w:val="20"/>
          <w:lang w:eastAsia="ko-KR"/>
        </w:rPr>
        <w:t>.</w:t>
      </w:r>
    </w:p>
    <w:p w14:paraId="5764F651" w14:textId="77777777" w:rsidR="00D14F24" w:rsidRPr="002C7F14" w:rsidRDefault="00D14F24" w:rsidP="00D14F24">
      <w:pPr>
        <w:spacing w:line="264" w:lineRule="auto"/>
        <w:jc w:val="both"/>
        <w:rPr>
          <w:rFonts w:asciiTheme="minorEastAsia" w:eastAsiaTheme="minorEastAsia" w:hAnsiTheme="minorEastAsia" w:cs="맑은 고딕"/>
          <w:sz w:val="20"/>
          <w:szCs w:val="20"/>
          <w:lang w:eastAsia="ko-KR"/>
        </w:rPr>
      </w:pPr>
    </w:p>
    <w:p w14:paraId="574A666E" w14:textId="596A5222" w:rsidR="00D14F24" w:rsidRPr="002C7F14" w:rsidRDefault="00D14F24" w:rsidP="006B41D1">
      <w:pPr>
        <w:pStyle w:val="a8"/>
        <w:numPr>
          <w:ilvl w:val="0"/>
          <w:numId w:val="69"/>
        </w:numPr>
        <w:tabs>
          <w:tab w:val="left" w:pos="1276"/>
        </w:tabs>
        <w:ind w:leftChars="0" w:left="709"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강도는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통합되었고</w:t>
      </w:r>
      <w:r w:rsidRPr="002C7F14">
        <w:rPr>
          <w:rFonts w:asciiTheme="minorEastAsia" w:eastAsiaTheme="minorEastAsia" w:hAnsiTheme="minorEastAsia" w:cs="맑은 고딕"/>
          <w:sz w:val="20"/>
          <w:szCs w:val="20"/>
          <w:lang w:eastAsia="ko-KR"/>
        </w:rPr>
        <w:t xml:space="preserve"> FDA</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2019</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ISO/CIE 17166:2019(E)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초판</w:t>
      </w:r>
      <w:r w:rsidRPr="002C7F14">
        <w:rPr>
          <w:rFonts w:asciiTheme="minorEastAsia" w:eastAsiaTheme="minorEastAsia" w:hAnsiTheme="minorEastAsia" w:cs="맑은 고딕"/>
          <w:sz w:val="20"/>
          <w:szCs w:val="20"/>
          <w:lang w:eastAsia="ko-KR"/>
        </w:rPr>
        <w:t>, 2019-05)</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일치하도록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반응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가중치가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휴대용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자세한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내용은</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@FDA</w:t>
      </w:r>
      <w:r w:rsidRPr="002C7F14">
        <w:rPr>
          <w:rFonts w:asciiTheme="minorEastAsia" w:eastAsiaTheme="minorEastAsia" w:hAnsiTheme="minorEastAsia" w:cs="맑은 고딕" w:hint="eastAsia"/>
          <w:sz w:val="20"/>
          <w:szCs w:val="20"/>
          <w:lang w:eastAsia="ko-KR"/>
        </w:rPr>
        <w:t>포털</w:t>
      </w:r>
      <w:r w:rsidRPr="002C7F14">
        <w:rPr>
          <w:rFonts w:asciiTheme="minorEastAsia" w:eastAsiaTheme="minorEastAsia" w:hAnsiTheme="minorEastAsia" w:cs="맑은 고딕"/>
          <w:sz w:val="20"/>
          <w:szCs w:val="20"/>
          <w:lang w:eastAsia="ko-KR"/>
        </w:rPr>
        <w:t>(</w:t>
      </w:r>
      <w:hyperlink r:id="rId17" w:history="1">
        <w:r w:rsidRPr="002C7F14">
          <w:rPr>
            <w:rFonts w:asciiTheme="minorEastAsia" w:eastAsiaTheme="minorEastAsia" w:hAnsiTheme="minorEastAsia" w:cs="맑은 고딕"/>
            <w:sz w:val="20"/>
            <w:szCs w:val="20"/>
            <w:lang w:eastAsia="ko-KR"/>
          </w:rPr>
          <w:t>https://www.accessdata.fda.gov/scripts/cder/omuf/</w:t>
        </w:r>
      </w:hyperlink>
      <w:r w:rsidRPr="002C7F14">
        <w:rPr>
          <w:rFonts w:asciiTheme="minorEastAsia" w:eastAsiaTheme="minorEastAsia" w:hAnsiTheme="minorEastAsia" w:cs="맑은 고딕"/>
          <w:sz w:val="20"/>
          <w:szCs w:val="20"/>
          <w:lang w:eastAsia="ko-KR"/>
        </w:rPr>
        <w:t xml:space="preserve"> index.cfm)</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출판사에서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사본을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구할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출력은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광검사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시험일의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종료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M020.80(b)(4)</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분광방사계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M020.80(b)(2)(i)</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가중계수를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분광방사계와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나란히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비교하여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교정해야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C485E1B" w14:textId="77777777" w:rsidR="00D14F24" w:rsidRPr="002C7F14" w:rsidRDefault="00D14F24" w:rsidP="00D14F24">
      <w:pPr>
        <w:spacing w:line="264" w:lineRule="auto"/>
        <w:jc w:val="both"/>
        <w:rPr>
          <w:rFonts w:asciiTheme="minorEastAsia" w:eastAsiaTheme="minorEastAsia" w:hAnsiTheme="minorEastAsia" w:cs="맑은 고딕"/>
          <w:sz w:val="20"/>
          <w:szCs w:val="20"/>
          <w:lang w:eastAsia="ko-KR"/>
        </w:rPr>
      </w:pPr>
    </w:p>
    <w:p w14:paraId="5F4F0AF9" w14:textId="77777777" w:rsidR="00D14F24" w:rsidRPr="002C7F14" w:rsidRDefault="00D14F24" w:rsidP="006B41D1">
      <w:pPr>
        <w:pStyle w:val="a8"/>
        <w:numPr>
          <w:ilvl w:val="0"/>
          <w:numId w:val="67"/>
        </w:numPr>
        <w:tabs>
          <w:tab w:val="left" w:pos="993"/>
        </w:tabs>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작동</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워밍업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상당한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(20% </w:t>
      </w:r>
      <w:r w:rsidRPr="002C7F14">
        <w:rPr>
          <w:rFonts w:asciiTheme="minorEastAsia" w:eastAsiaTheme="minorEastAsia" w:hAnsiTheme="minorEastAsia" w:cs="맑은 고딕" w:hint="eastAsia"/>
          <w:sz w:val="20"/>
          <w:szCs w:val="20"/>
          <w:lang w:eastAsia="ko-KR"/>
        </w:rPr>
        <w:t>이내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평면에서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균일성이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양호해야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(20% </w:t>
      </w:r>
      <w:r w:rsidRPr="002C7F14">
        <w:rPr>
          <w:rFonts w:asciiTheme="minorEastAsia" w:eastAsiaTheme="minorEastAsia" w:hAnsiTheme="minorEastAsia" w:cs="맑은 고딕" w:hint="eastAsia"/>
          <w:sz w:val="20"/>
          <w:szCs w:val="20"/>
          <w:lang w:eastAsia="ko-KR"/>
        </w:rPr>
        <w:t>이내</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노출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선량의</w:t>
      </w:r>
      <w:r w:rsidRPr="002C7F14">
        <w:rPr>
          <w:rFonts w:asciiTheme="minorEastAsia" w:eastAsiaTheme="minorEastAsia" w:hAnsiTheme="minorEastAsia" w:cs="맑은 고딕"/>
          <w:sz w:val="20"/>
          <w:szCs w:val="20"/>
          <w:lang w:eastAsia="ko-KR"/>
        </w:rPr>
        <w:t xml:space="preserve"> 10% </w:t>
      </w:r>
      <w:r w:rsidRPr="002C7F14">
        <w:rPr>
          <w:rFonts w:asciiTheme="minorEastAsia" w:eastAsiaTheme="minorEastAsia" w:hAnsiTheme="minorEastAsia" w:cs="맑은 고딕" w:hint="eastAsia"/>
          <w:sz w:val="20"/>
          <w:szCs w:val="20"/>
          <w:lang w:eastAsia="ko-KR"/>
        </w:rPr>
        <w:t>이내여야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664D223" w14:textId="77777777" w:rsidR="00D14F24" w:rsidRPr="002C7F14" w:rsidRDefault="00D14F24" w:rsidP="00D14F24">
      <w:pPr>
        <w:pStyle w:val="a8"/>
        <w:tabs>
          <w:tab w:val="left" w:pos="993"/>
        </w:tabs>
        <w:spacing w:line="264" w:lineRule="auto"/>
        <w:ind w:leftChars="0" w:left="426"/>
        <w:jc w:val="both"/>
        <w:rPr>
          <w:rFonts w:asciiTheme="minorEastAsia" w:eastAsiaTheme="minorEastAsia" w:hAnsiTheme="minorEastAsia" w:cs="맑은 고딕"/>
          <w:sz w:val="20"/>
          <w:szCs w:val="20"/>
          <w:lang w:eastAsia="ko-KR"/>
        </w:rPr>
      </w:pPr>
    </w:p>
    <w:p w14:paraId="25B39E1E" w14:textId="77777777" w:rsidR="00D14F24" w:rsidRPr="002C7F14" w:rsidRDefault="00D14F24" w:rsidP="006B41D1">
      <w:pPr>
        <w:pStyle w:val="a8"/>
        <w:numPr>
          <w:ilvl w:val="0"/>
          <w:numId w:val="67"/>
        </w:numPr>
        <w:tabs>
          <w:tab w:val="left" w:pos="993"/>
        </w:tabs>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주기적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방사선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전달하도록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보장하기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정확하게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분광방사계로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적어도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매년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결과는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국립표준기술원에서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추적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가능해야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램프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광학</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필터링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구성요소</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거울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렌즈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장치</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변화가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재교정해야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강도는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M020.80(b)(2)(iii)</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통합된</w:t>
      </w:r>
      <w:r w:rsidRPr="002C7F14">
        <w:rPr>
          <w:rFonts w:asciiTheme="minorEastAsia" w:eastAsiaTheme="minorEastAsia" w:hAnsiTheme="minorEastAsia" w:cs="맑은 고딕"/>
          <w:sz w:val="20"/>
          <w:szCs w:val="20"/>
          <w:lang w:eastAsia="ko-KR"/>
        </w:rPr>
        <w:t xml:space="preserve"> ISO/CIE 17166:2019(E)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일치하도록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반응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가중치가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광대역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모니터링해야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광검사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램프를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교체해야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가능한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빨리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분광방사계로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원래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램프에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일치하는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광대역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판독값으로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충분하다</w:t>
      </w:r>
      <w:r w:rsidRPr="002C7F14">
        <w:rPr>
          <w:rFonts w:asciiTheme="minorEastAsia" w:eastAsiaTheme="minorEastAsia" w:hAnsiTheme="minorEastAsia" w:cs="맑은 고딕"/>
          <w:sz w:val="20"/>
          <w:szCs w:val="20"/>
          <w:lang w:eastAsia="ko-KR"/>
        </w:rPr>
        <w:t>.</w:t>
      </w:r>
    </w:p>
    <w:p w14:paraId="4980B798" w14:textId="557747B7" w:rsidR="00D14F24" w:rsidRPr="002C7F14" w:rsidRDefault="00D14F24" w:rsidP="00D14F24">
      <w:pPr>
        <w:spacing w:line="264" w:lineRule="auto"/>
        <w:jc w:val="both"/>
        <w:rPr>
          <w:rFonts w:asciiTheme="minorEastAsia" w:eastAsiaTheme="minorEastAsia" w:hAnsiTheme="minorEastAsia" w:cs="맑은 고딕"/>
          <w:sz w:val="20"/>
          <w:szCs w:val="20"/>
          <w:lang w:eastAsia="ko-KR"/>
        </w:rPr>
      </w:pPr>
    </w:p>
    <w:p w14:paraId="059DDAEB" w14:textId="77777777" w:rsidR="001D4979" w:rsidRPr="002C7F14" w:rsidRDefault="001D4979" w:rsidP="001D4979">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w:t>
      </w:r>
    </w:p>
    <w:p w14:paraId="13E419ED" w14:textId="77777777" w:rsidR="001D4979" w:rsidRPr="002C7F14" w:rsidRDefault="001D4979" w:rsidP="001D4979">
      <w:pPr>
        <w:spacing w:line="264" w:lineRule="auto"/>
        <w:jc w:val="both"/>
        <w:rPr>
          <w:rFonts w:asciiTheme="minorEastAsia" w:eastAsiaTheme="minorEastAsia" w:hAnsiTheme="minorEastAsia" w:cs="맑은 고딕"/>
          <w:sz w:val="20"/>
          <w:szCs w:val="20"/>
          <w:lang w:eastAsia="ko-KR"/>
        </w:rPr>
      </w:pPr>
    </w:p>
    <w:p w14:paraId="30C3678D" w14:textId="77777777" w:rsidR="001D4979" w:rsidRPr="002C7F14" w:rsidRDefault="001D4979" w:rsidP="006B41D1">
      <w:pPr>
        <w:pStyle w:val="a8"/>
        <w:numPr>
          <w:ilvl w:val="0"/>
          <w:numId w:val="7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준비</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표준시료는</w:t>
      </w:r>
      <w:r w:rsidRPr="002C7F14">
        <w:rPr>
          <w:rFonts w:asciiTheme="minorEastAsia" w:eastAsiaTheme="minorEastAsia" w:hAnsiTheme="minorEastAsia" w:cs="맑은 고딕"/>
          <w:sz w:val="20"/>
          <w:szCs w:val="20"/>
          <w:lang w:eastAsia="ko-KR"/>
        </w:rPr>
        <w:t xml:space="preserve"> 7%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r w:rsidRPr="002C7F14">
        <w:rPr>
          <w:rFonts w:asciiTheme="minorEastAsia" w:eastAsiaTheme="minorEastAsia" w:hAnsiTheme="minorEastAsia" w:cs="맑은 고딕" w:hint="eastAsia"/>
          <w:sz w:val="20"/>
          <w:szCs w:val="20"/>
          <w:lang w:eastAsia="ko-KR"/>
        </w:rPr>
        <w:t>와</w:t>
      </w:r>
      <w:r w:rsidRPr="002C7F14">
        <w:rPr>
          <w:rFonts w:asciiTheme="minorEastAsia" w:eastAsiaTheme="minorEastAsia" w:hAnsiTheme="minorEastAsia" w:cs="맑은 고딕"/>
          <w:sz w:val="20"/>
          <w:szCs w:val="20"/>
          <w:lang w:eastAsia="ko-KR"/>
        </w:rPr>
        <w:t xml:space="preserve"> 3% </w:t>
      </w:r>
      <w:r w:rsidRPr="002C7F14">
        <w:rPr>
          <w:rFonts w:asciiTheme="minorEastAsia" w:eastAsiaTheme="minorEastAsia" w:hAnsiTheme="minorEastAsia" w:cs="맑은 고딕" w:hint="eastAsia"/>
          <w:sz w:val="20"/>
          <w:szCs w:val="20"/>
          <w:lang w:eastAsia="ko-KR"/>
        </w:rPr>
        <w:t>옥시벤존을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제형이어야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3684684" w14:textId="77777777" w:rsidR="001D4979" w:rsidRPr="002C7F14" w:rsidRDefault="001D4979" w:rsidP="001D4979">
      <w:pPr>
        <w:spacing w:line="264" w:lineRule="auto"/>
        <w:jc w:val="both"/>
        <w:rPr>
          <w:rFonts w:asciiTheme="minorEastAsia" w:eastAsiaTheme="minorEastAsia" w:hAnsiTheme="minorEastAsia" w:cs="맑은 고딕"/>
          <w:sz w:val="20"/>
          <w:szCs w:val="20"/>
          <w:lang w:eastAsia="ko-KR"/>
        </w:rPr>
      </w:pPr>
    </w:p>
    <w:p w14:paraId="0858EE62" w14:textId="62661BEE" w:rsidR="00D14F24" w:rsidRPr="002C7F14" w:rsidRDefault="001D4979" w:rsidP="001D4979">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M020.80(c)(1)</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w:t>
      </w:r>
      <w:r w:rsidRPr="002C7F14">
        <w:rPr>
          <w:rFonts w:asciiTheme="minorEastAsia" w:eastAsiaTheme="minorEastAsia" w:hAnsiTheme="minorEastAsia" w:cs="맑은 고딕"/>
          <w:sz w:val="20"/>
          <w:szCs w:val="20"/>
          <w:lang w:eastAsia="ko-KR"/>
        </w:rPr>
        <w:t xml:space="preserve"> 3--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조성</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5666"/>
        <w:gridCol w:w="3028"/>
      </w:tblGrid>
      <w:tr w:rsidR="001D4979" w:rsidRPr="002C7F14" w14:paraId="36553B47"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bottom"/>
            <w:hideMark/>
          </w:tcPr>
          <w:p w14:paraId="75E4CD82" w14:textId="77777777" w:rsidR="001D4979" w:rsidRPr="002C7F14" w:rsidRDefault="001D4979" w:rsidP="00202E63">
            <w:pPr>
              <w:pStyle w:val="TableParagraph"/>
              <w:ind w:left="0"/>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성분</w:t>
            </w:r>
          </w:p>
        </w:tc>
        <w:tc>
          <w:tcPr>
            <w:tcW w:w="3028" w:type="dxa"/>
            <w:tcBorders>
              <w:top w:val="single" w:sz="6" w:space="0" w:color="000000"/>
              <w:left w:val="single" w:sz="6" w:space="0" w:color="000000"/>
              <w:bottom w:val="single" w:sz="6" w:space="0" w:color="000000"/>
              <w:right w:val="single" w:sz="6" w:space="0" w:color="000000"/>
            </w:tcBorders>
            <w:vAlign w:val="bottom"/>
            <w:hideMark/>
          </w:tcPr>
          <w:p w14:paraId="65ACEEE2" w14:textId="77777777" w:rsidR="001D4979" w:rsidRPr="002C7F14" w:rsidRDefault="001D4979" w:rsidP="00202E63">
            <w:pPr>
              <w:pStyle w:val="TableParagraph"/>
              <w:ind w:left="0"/>
              <w:jc w:val="center"/>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중량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백분율</w:t>
            </w:r>
          </w:p>
        </w:tc>
      </w:tr>
      <w:tr w:rsidR="001D4979" w:rsidRPr="002C7F14" w14:paraId="666E2D79" w14:textId="77777777" w:rsidTr="00202E63">
        <w:trPr>
          <w:trHeight w:val="409"/>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7ECFF133" w14:textId="77777777" w:rsidR="001D4979" w:rsidRPr="002C7F14" w:rsidRDefault="001D4979" w:rsidP="00202E63">
            <w:pPr>
              <w:pStyle w:val="TableParagraph"/>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w:t>
            </w:r>
            <w:r w:rsidRPr="002C7F14">
              <w:rPr>
                <w:rFonts w:asciiTheme="minorEastAsia" w:eastAsiaTheme="minorEastAsia" w:hAnsiTheme="minorEastAsia"/>
                <w:sz w:val="20"/>
                <w:szCs w:val="20"/>
                <w:lang w:eastAsia="ko-KR"/>
              </w:rPr>
              <w:t>A</w:t>
            </w:r>
            <w:r w:rsidRPr="002C7F14">
              <w:rPr>
                <w:rFonts w:asciiTheme="minorEastAsia" w:eastAsiaTheme="minorEastAsia" w:hAnsiTheme="minorEastAsia" w:hint="eastAsia"/>
                <w:sz w:val="20"/>
                <w:szCs w:val="20"/>
                <w:lang w:eastAsia="ko-KR"/>
              </w:rPr>
              <w:t>부</w:t>
            </w:r>
            <w:r w:rsidRPr="002C7F14">
              <w:rPr>
                <w:rFonts w:asciiTheme="minorEastAsia" w:eastAsiaTheme="minorEastAsia" w:hAnsiTheme="minorEastAsia"/>
                <w:sz w:val="20"/>
                <w:szCs w:val="20"/>
                <w:lang w:eastAsia="ko-KR"/>
              </w:rPr>
              <w:t>:</w:t>
            </w:r>
          </w:p>
        </w:tc>
        <w:tc>
          <w:tcPr>
            <w:tcW w:w="3028" w:type="dxa"/>
            <w:tcBorders>
              <w:top w:val="single" w:sz="6" w:space="0" w:color="000000"/>
              <w:left w:val="single" w:sz="6" w:space="0" w:color="000000"/>
              <w:bottom w:val="single" w:sz="6" w:space="0" w:color="000000"/>
              <w:right w:val="single" w:sz="6" w:space="0" w:color="000000"/>
            </w:tcBorders>
          </w:tcPr>
          <w:p w14:paraId="0A652CA3" w14:textId="77777777" w:rsidR="001D4979" w:rsidRPr="002C7F14" w:rsidRDefault="001D4979" w:rsidP="001D4979">
            <w:pPr>
              <w:pStyle w:val="TableParagraph"/>
              <w:ind w:left="0"/>
              <w:jc w:val="both"/>
              <w:rPr>
                <w:rFonts w:asciiTheme="minorEastAsia" w:eastAsiaTheme="minorEastAsia" w:hAnsiTheme="minorEastAsia"/>
                <w:sz w:val="20"/>
                <w:szCs w:val="20"/>
                <w:lang w:eastAsia="ko-KR"/>
              </w:rPr>
            </w:pPr>
          </w:p>
        </w:tc>
      </w:tr>
      <w:tr w:rsidR="001D4979" w:rsidRPr="002C7F14" w14:paraId="3167407A"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2BD36701"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라놀린</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6823685A"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4.50</w:t>
            </w:r>
          </w:p>
        </w:tc>
      </w:tr>
      <w:tr w:rsidR="001D4979" w:rsidRPr="002C7F14" w14:paraId="4A00C821"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612164DB"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코코아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버터</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59270BE9"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2.00</w:t>
            </w:r>
          </w:p>
        </w:tc>
      </w:tr>
      <w:tr w:rsidR="001D4979" w:rsidRPr="002C7F14" w14:paraId="1C995999"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1B0A75B4"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글리세릴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모노스테아레이트</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7B523A73"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3.00</w:t>
            </w:r>
          </w:p>
        </w:tc>
      </w:tr>
      <w:tr w:rsidR="001D4979" w:rsidRPr="002C7F14" w14:paraId="0FBA3CB7" w14:textId="77777777" w:rsidTr="00202E63">
        <w:trPr>
          <w:trHeight w:val="409"/>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420EF3F6"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스테아르산</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52B1F2BE"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2.00</w:t>
            </w:r>
          </w:p>
        </w:tc>
      </w:tr>
      <w:tr w:rsidR="001D4979" w:rsidRPr="002C7F14" w14:paraId="23EB7397"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76B7FC36"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파디메이트</w:t>
            </w:r>
            <w:r w:rsidRPr="002C7F14">
              <w:rPr>
                <w:rFonts w:asciiTheme="minorEastAsia" w:eastAsiaTheme="minorEastAsia" w:hAnsiTheme="minorEastAsia"/>
                <w:sz w:val="20"/>
                <w:szCs w:val="20"/>
                <w:lang w:eastAsia="ko-KR"/>
              </w:rPr>
              <w:t xml:space="preserve"> O</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0B53AB9E"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7.00</w:t>
            </w:r>
          </w:p>
        </w:tc>
      </w:tr>
      <w:tr w:rsidR="001D4979" w:rsidRPr="002C7F14" w14:paraId="4E6A59B9"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1ABE1B42"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옥시벤존</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0A287DAF"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3.00</w:t>
            </w:r>
          </w:p>
        </w:tc>
      </w:tr>
      <w:tr w:rsidR="001D4979" w:rsidRPr="002C7F14" w14:paraId="1BCD6BCB"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6100DC0E" w14:textId="77777777" w:rsidR="001D4979" w:rsidRPr="002C7F14" w:rsidRDefault="001D4979" w:rsidP="00202E63">
            <w:pPr>
              <w:pStyle w:val="TableParagraph"/>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w:t>
            </w:r>
            <w:r w:rsidRPr="002C7F14">
              <w:rPr>
                <w:rFonts w:asciiTheme="minorEastAsia" w:eastAsiaTheme="minorEastAsia" w:hAnsiTheme="minorEastAsia"/>
                <w:sz w:val="20"/>
                <w:szCs w:val="20"/>
                <w:lang w:eastAsia="ko-KR"/>
              </w:rPr>
              <w:t>B</w:t>
            </w:r>
            <w:r w:rsidRPr="002C7F14">
              <w:rPr>
                <w:rFonts w:asciiTheme="minorEastAsia" w:eastAsiaTheme="minorEastAsia" w:hAnsiTheme="minorEastAsia" w:hint="eastAsia"/>
                <w:sz w:val="20"/>
                <w:szCs w:val="20"/>
                <w:lang w:eastAsia="ko-KR"/>
              </w:rPr>
              <w:t>부</w:t>
            </w:r>
            <w:r w:rsidRPr="002C7F14">
              <w:rPr>
                <w:rFonts w:asciiTheme="minorEastAsia" w:eastAsiaTheme="minorEastAsia" w:hAnsiTheme="minorEastAsia"/>
                <w:sz w:val="20"/>
                <w:szCs w:val="20"/>
                <w:lang w:eastAsia="ko-KR"/>
              </w:rPr>
              <w:t>:</w:t>
            </w:r>
          </w:p>
        </w:tc>
        <w:tc>
          <w:tcPr>
            <w:tcW w:w="3028" w:type="dxa"/>
            <w:tcBorders>
              <w:top w:val="single" w:sz="6" w:space="0" w:color="000000"/>
              <w:left w:val="single" w:sz="6" w:space="0" w:color="000000"/>
              <w:bottom w:val="single" w:sz="6" w:space="0" w:color="000000"/>
              <w:right w:val="single" w:sz="6" w:space="0" w:color="000000"/>
            </w:tcBorders>
            <w:vAlign w:val="center"/>
          </w:tcPr>
          <w:p w14:paraId="7906FAB8"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p>
        </w:tc>
      </w:tr>
      <w:tr w:rsidR="001D4979" w:rsidRPr="002C7F14" w14:paraId="482030F9" w14:textId="77777777" w:rsidTr="00202E63">
        <w:trPr>
          <w:trHeight w:val="409"/>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32AD0378"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 xml:space="preserve">USP </w:t>
            </w:r>
            <w:r w:rsidRPr="002C7F14">
              <w:rPr>
                <w:rFonts w:asciiTheme="minorEastAsia" w:eastAsiaTheme="minorEastAsia" w:hAnsiTheme="minorEastAsia" w:hint="eastAsia"/>
                <w:sz w:val="20"/>
                <w:szCs w:val="20"/>
                <w:lang w:eastAsia="ko-KR"/>
              </w:rPr>
              <w:t>정제수</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326AD954"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71.60</w:t>
            </w:r>
          </w:p>
        </w:tc>
      </w:tr>
      <w:tr w:rsidR="001D4979" w:rsidRPr="002C7F14" w14:paraId="61E97739"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1603A8E9"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소르비톨</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용약</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2573AE11"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5.00</w:t>
            </w:r>
          </w:p>
        </w:tc>
      </w:tr>
      <w:tr w:rsidR="001D4979" w:rsidRPr="002C7F14" w14:paraId="358E941F"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548FB69F"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트리에탄올아민</w:t>
            </w:r>
            <w:r w:rsidRPr="002C7F14">
              <w:rPr>
                <w:rFonts w:asciiTheme="minorEastAsia" w:eastAsiaTheme="minorEastAsia" w:hAnsiTheme="minorEastAsia"/>
                <w:sz w:val="20"/>
                <w:szCs w:val="20"/>
                <w:lang w:eastAsia="ko-KR"/>
              </w:rPr>
              <w:t>, 99%</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285DE7B3"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1.00</w:t>
            </w:r>
          </w:p>
        </w:tc>
      </w:tr>
      <w:tr w:rsidR="001D4979" w:rsidRPr="002C7F14" w14:paraId="37ADF8CC"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39D537CA"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메틸파라벤</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43CA01A5"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0.30</w:t>
            </w:r>
          </w:p>
        </w:tc>
      </w:tr>
      <w:tr w:rsidR="001D4979" w:rsidRPr="002C7F14" w14:paraId="066CB535" w14:textId="77777777" w:rsidTr="00202E63">
        <w:trPr>
          <w:trHeight w:val="409"/>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282E8C7E"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프로필파라벤</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1CD08435"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0.10</w:t>
            </w:r>
          </w:p>
        </w:tc>
      </w:tr>
      <w:tr w:rsidR="001D4979" w:rsidRPr="002C7F14" w14:paraId="59065C4D"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13705E77" w14:textId="77777777" w:rsidR="001D4979" w:rsidRPr="002C7F14" w:rsidRDefault="001D4979" w:rsidP="00202E63">
            <w:pPr>
              <w:pStyle w:val="TableParagraph"/>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w:t>
            </w:r>
            <w:r w:rsidRPr="002C7F14">
              <w:rPr>
                <w:rFonts w:asciiTheme="minorEastAsia" w:eastAsiaTheme="minorEastAsia" w:hAnsiTheme="minorEastAsia"/>
                <w:sz w:val="20"/>
                <w:szCs w:val="20"/>
                <w:lang w:eastAsia="ko-KR"/>
              </w:rPr>
              <w:t>C</w:t>
            </w:r>
            <w:r w:rsidRPr="002C7F14">
              <w:rPr>
                <w:rFonts w:asciiTheme="minorEastAsia" w:eastAsiaTheme="minorEastAsia" w:hAnsiTheme="minorEastAsia" w:hint="eastAsia"/>
                <w:sz w:val="20"/>
                <w:szCs w:val="20"/>
                <w:lang w:eastAsia="ko-KR"/>
              </w:rPr>
              <w:t>부</w:t>
            </w:r>
            <w:r w:rsidRPr="002C7F14">
              <w:rPr>
                <w:rFonts w:asciiTheme="minorEastAsia" w:eastAsiaTheme="minorEastAsia" w:hAnsiTheme="minorEastAsia"/>
                <w:sz w:val="20"/>
                <w:szCs w:val="20"/>
                <w:lang w:eastAsia="ko-KR"/>
              </w:rPr>
              <w:t>:</w:t>
            </w:r>
          </w:p>
        </w:tc>
        <w:tc>
          <w:tcPr>
            <w:tcW w:w="3028" w:type="dxa"/>
            <w:tcBorders>
              <w:top w:val="single" w:sz="6" w:space="0" w:color="000000"/>
              <w:left w:val="single" w:sz="6" w:space="0" w:color="000000"/>
              <w:bottom w:val="single" w:sz="6" w:space="0" w:color="000000"/>
              <w:right w:val="single" w:sz="6" w:space="0" w:color="000000"/>
            </w:tcBorders>
            <w:vAlign w:val="center"/>
          </w:tcPr>
          <w:p w14:paraId="58E4B526"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p>
        </w:tc>
      </w:tr>
      <w:tr w:rsidR="001D4979" w:rsidRPr="002C7F14" w14:paraId="187A1D34"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640FEC95"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벤질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알코올</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51F3FE93"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0.50</w:t>
            </w:r>
          </w:p>
        </w:tc>
      </w:tr>
      <w:tr w:rsidR="001D4979" w:rsidRPr="002C7F14" w14:paraId="456074A4" w14:textId="77777777" w:rsidTr="00202E63">
        <w:trPr>
          <w:trHeight w:val="407"/>
        </w:trPr>
        <w:tc>
          <w:tcPr>
            <w:tcW w:w="5666" w:type="dxa"/>
            <w:tcBorders>
              <w:top w:val="single" w:sz="6" w:space="0" w:color="000000"/>
              <w:left w:val="single" w:sz="6" w:space="0" w:color="000000"/>
              <w:bottom w:val="single" w:sz="6" w:space="0" w:color="000000"/>
              <w:right w:val="single" w:sz="6" w:space="0" w:color="000000"/>
            </w:tcBorders>
            <w:vAlign w:val="center"/>
            <w:hideMark/>
          </w:tcPr>
          <w:p w14:paraId="1FBF1887" w14:textId="77777777" w:rsidR="001D4979" w:rsidRPr="002C7F14" w:rsidRDefault="001D4979" w:rsidP="00202E63">
            <w:pPr>
              <w:pStyle w:val="TableParagraph"/>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제</w:t>
            </w:r>
            <w:r w:rsidRPr="002C7F14">
              <w:rPr>
                <w:rFonts w:asciiTheme="minorEastAsia" w:eastAsiaTheme="minorEastAsia" w:hAnsiTheme="minorEastAsia"/>
                <w:sz w:val="20"/>
                <w:szCs w:val="20"/>
                <w:lang w:eastAsia="ko-KR"/>
              </w:rPr>
              <w:t>D</w:t>
            </w:r>
            <w:r w:rsidRPr="002C7F14">
              <w:rPr>
                <w:rFonts w:asciiTheme="minorEastAsia" w:eastAsiaTheme="minorEastAsia" w:hAnsiTheme="minorEastAsia" w:hint="eastAsia"/>
                <w:sz w:val="20"/>
                <w:szCs w:val="20"/>
                <w:lang w:eastAsia="ko-KR"/>
              </w:rPr>
              <w:t>부</w:t>
            </w:r>
            <w:r w:rsidRPr="002C7F14">
              <w:rPr>
                <w:rFonts w:asciiTheme="minorEastAsia" w:eastAsiaTheme="minorEastAsia" w:hAnsiTheme="minorEastAsia"/>
                <w:sz w:val="20"/>
                <w:szCs w:val="20"/>
                <w:lang w:eastAsia="ko-KR"/>
              </w:rPr>
              <w:t>:</w:t>
            </w:r>
          </w:p>
        </w:tc>
        <w:tc>
          <w:tcPr>
            <w:tcW w:w="3028" w:type="dxa"/>
            <w:tcBorders>
              <w:top w:val="single" w:sz="6" w:space="0" w:color="000000"/>
              <w:left w:val="single" w:sz="6" w:space="0" w:color="000000"/>
              <w:bottom w:val="single" w:sz="6" w:space="0" w:color="000000"/>
              <w:right w:val="single" w:sz="6" w:space="0" w:color="000000"/>
            </w:tcBorders>
            <w:vAlign w:val="center"/>
          </w:tcPr>
          <w:p w14:paraId="011CB535"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p>
        </w:tc>
      </w:tr>
      <w:tr w:rsidR="001D4979" w:rsidRPr="002C7F14" w14:paraId="2FB474D1" w14:textId="77777777" w:rsidTr="00202E63">
        <w:trPr>
          <w:trHeight w:val="409"/>
        </w:trPr>
        <w:tc>
          <w:tcPr>
            <w:tcW w:w="5666" w:type="dxa"/>
            <w:tcBorders>
              <w:top w:val="single" w:sz="6" w:space="0" w:color="000000"/>
              <w:left w:val="single" w:sz="6" w:space="0" w:color="000000"/>
              <w:bottom w:val="single" w:sz="6" w:space="0" w:color="000000"/>
              <w:right w:val="single" w:sz="6" w:space="0" w:color="000000"/>
            </w:tcBorders>
            <w:hideMark/>
          </w:tcPr>
          <w:p w14:paraId="20678EDF" w14:textId="77777777" w:rsidR="001D4979" w:rsidRPr="002C7F14" w:rsidRDefault="001D4979" w:rsidP="00202E63">
            <w:pPr>
              <w:pStyle w:val="TableParagraph"/>
              <w:ind w:leftChars="186" w:left="409"/>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 xml:space="preserve">USP </w:t>
            </w:r>
            <w:r w:rsidRPr="002C7F14">
              <w:rPr>
                <w:rFonts w:asciiTheme="minorEastAsia" w:eastAsiaTheme="minorEastAsia" w:hAnsiTheme="minorEastAsia" w:hint="eastAsia"/>
                <w:sz w:val="20"/>
                <w:szCs w:val="20"/>
                <w:lang w:eastAsia="ko-KR"/>
              </w:rPr>
              <w:t>정제수</w:t>
            </w:r>
          </w:p>
        </w:tc>
        <w:tc>
          <w:tcPr>
            <w:tcW w:w="3028" w:type="dxa"/>
            <w:tcBorders>
              <w:top w:val="single" w:sz="6" w:space="0" w:color="000000"/>
              <w:left w:val="single" w:sz="6" w:space="0" w:color="000000"/>
              <w:bottom w:val="single" w:sz="6" w:space="0" w:color="000000"/>
              <w:right w:val="single" w:sz="6" w:space="0" w:color="000000"/>
            </w:tcBorders>
            <w:vAlign w:val="center"/>
            <w:hideMark/>
          </w:tcPr>
          <w:p w14:paraId="3FE0D768" w14:textId="77777777" w:rsidR="001D4979" w:rsidRPr="002C7F14" w:rsidRDefault="001D4979" w:rsidP="00202E63">
            <w:pPr>
              <w:pStyle w:val="TableParagraph"/>
              <w:ind w:left="0"/>
              <w:jc w:val="right"/>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QS</w:t>
            </w:r>
            <w:r w:rsidRPr="002C7F14">
              <w:rPr>
                <w:rFonts w:asciiTheme="minorEastAsia" w:eastAsiaTheme="minorEastAsia" w:hAnsiTheme="minorEastAsia"/>
                <w:sz w:val="20"/>
                <w:szCs w:val="20"/>
                <w:vertAlign w:val="superscript"/>
                <w:lang w:eastAsia="ko-KR"/>
              </w:rPr>
              <w:t>1</w:t>
            </w:r>
          </w:p>
        </w:tc>
      </w:tr>
    </w:tbl>
    <w:p w14:paraId="4AC23702" w14:textId="6930C61C" w:rsidR="00D14F24" w:rsidRPr="002C7F14" w:rsidRDefault="00202E63" w:rsidP="00202E63">
      <w:pPr>
        <w:pStyle w:val="TableParagraph"/>
        <w:ind w:left="0"/>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vertAlign w:val="superscript"/>
          <w:lang w:eastAsia="ko-KR"/>
        </w:rPr>
        <w:t>1</w:t>
      </w:r>
      <w:r w:rsidRPr="002C7F14">
        <w:rPr>
          <w:rFonts w:asciiTheme="minorEastAsia" w:eastAsiaTheme="minorEastAsia" w:hAnsiTheme="minorEastAsia"/>
          <w:sz w:val="20"/>
          <w:szCs w:val="20"/>
          <w:lang w:eastAsia="ko-KR"/>
        </w:rPr>
        <w:t xml:space="preserve"> 100 </w:t>
      </w:r>
      <w:r w:rsidRPr="002C7F14">
        <w:rPr>
          <w:rFonts w:asciiTheme="minorEastAsia" w:eastAsiaTheme="minorEastAsia" w:hAnsiTheme="minorEastAsia" w:hint="eastAsia"/>
          <w:sz w:val="20"/>
          <w:szCs w:val="20"/>
          <w:lang w:eastAsia="ko-KR"/>
        </w:rPr>
        <w:t>그램을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만들기에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충분한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양</w:t>
      </w:r>
      <w:r w:rsidRPr="002C7F14">
        <w:rPr>
          <w:rFonts w:asciiTheme="minorEastAsia" w:eastAsiaTheme="minorEastAsia" w:hAnsiTheme="minorEastAsia"/>
          <w:sz w:val="20"/>
          <w:szCs w:val="20"/>
          <w:lang w:eastAsia="ko-KR"/>
        </w:rPr>
        <w:t>.</w:t>
      </w:r>
    </w:p>
    <w:p w14:paraId="019CBE3B" w14:textId="753A8751" w:rsidR="00D14F24" w:rsidRPr="002C7F14" w:rsidRDefault="00D14F24" w:rsidP="002B2753">
      <w:pPr>
        <w:spacing w:line="264" w:lineRule="auto"/>
        <w:jc w:val="both"/>
        <w:rPr>
          <w:rFonts w:asciiTheme="minorEastAsia" w:eastAsiaTheme="minorEastAsia" w:hAnsiTheme="minorEastAsia" w:cs="맑은 고딕"/>
          <w:sz w:val="20"/>
          <w:szCs w:val="20"/>
          <w:lang w:eastAsia="ko-KR"/>
        </w:rPr>
      </w:pPr>
    </w:p>
    <w:p w14:paraId="2834B401" w14:textId="77777777" w:rsidR="00202E63" w:rsidRPr="002C7F14" w:rsidRDefault="00202E63" w:rsidP="006B41D1">
      <w:pPr>
        <w:pStyle w:val="a8"/>
        <w:numPr>
          <w:ilvl w:val="0"/>
          <w:numId w:val="72"/>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1</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A</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프로펠러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교반기가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스테인리스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케틀에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균일해질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77~82</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08EA5E96" w14:textId="77777777" w:rsidR="00202E63" w:rsidRPr="002C7F14" w:rsidRDefault="00202E63" w:rsidP="006B41D1">
      <w:pPr>
        <w:pStyle w:val="a8"/>
        <w:numPr>
          <w:ilvl w:val="0"/>
          <w:numId w:val="72"/>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2</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B</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프로펠러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교반기가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스테인리스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케틀에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넣고</w:t>
      </w:r>
      <w:r w:rsidRPr="002C7F14">
        <w:rPr>
          <w:rFonts w:asciiTheme="minorEastAsia" w:eastAsiaTheme="minorEastAsia" w:hAnsiTheme="minorEastAsia" w:cs="맑은 고딕"/>
          <w:sz w:val="20"/>
          <w:szCs w:val="20"/>
          <w:lang w:eastAsia="ko-KR"/>
        </w:rPr>
        <w:t xml:space="preserve"> 77~82</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시작한다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B</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나머지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균일해질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223B5A44" w14:textId="77777777" w:rsidR="00202E63" w:rsidRPr="002C7F14" w:rsidRDefault="00202E63" w:rsidP="006B41D1">
      <w:pPr>
        <w:pStyle w:val="a8"/>
        <w:numPr>
          <w:ilvl w:val="0"/>
          <w:numId w:val="72"/>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3</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1</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배치를</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넣고</w:t>
      </w:r>
      <w:r w:rsidRPr="002C7F14">
        <w:rPr>
          <w:rFonts w:asciiTheme="minorEastAsia" w:eastAsiaTheme="minorEastAsia" w:hAnsiTheme="minorEastAsia" w:cs="맑은 고딕"/>
          <w:sz w:val="20"/>
          <w:szCs w:val="20"/>
          <w:lang w:eastAsia="ko-KR"/>
        </w:rPr>
        <w:t xml:space="preserve"> 77~82</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부드럽고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균일해질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배치를</w:t>
      </w:r>
      <w:r w:rsidRPr="002C7F14">
        <w:rPr>
          <w:rFonts w:asciiTheme="minorEastAsia" w:eastAsiaTheme="minorEastAsia" w:hAnsiTheme="minorEastAsia" w:cs="맑은 고딕"/>
          <w:sz w:val="20"/>
          <w:szCs w:val="20"/>
          <w:lang w:eastAsia="ko-KR"/>
        </w:rPr>
        <w:t xml:space="preserve"> 49~54</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천천히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식힌다</w:t>
      </w:r>
      <w:r w:rsidRPr="002C7F14">
        <w:rPr>
          <w:rFonts w:asciiTheme="minorEastAsia" w:eastAsiaTheme="minorEastAsia" w:hAnsiTheme="minorEastAsia" w:cs="맑은 고딕"/>
          <w:sz w:val="20"/>
          <w:szCs w:val="20"/>
          <w:lang w:eastAsia="ko-KR"/>
        </w:rPr>
        <w:t>.</w:t>
      </w:r>
    </w:p>
    <w:p w14:paraId="5A0297E7" w14:textId="77777777" w:rsidR="00202E63" w:rsidRPr="002C7F14" w:rsidRDefault="00202E63" w:rsidP="006B41D1">
      <w:pPr>
        <w:pStyle w:val="a8"/>
        <w:numPr>
          <w:ilvl w:val="0"/>
          <w:numId w:val="72"/>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4</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벤질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알코올을</w:t>
      </w:r>
      <w:r w:rsidRPr="002C7F14">
        <w:rPr>
          <w:rFonts w:asciiTheme="minorEastAsia" w:eastAsiaTheme="minorEastAsia" w:hAnsiTheme="minorEastAsia" w:cs="맑은 고딕"/>
          <w:sz w:val="20"/>
          <w:szCs w:val="20"/>
          <w:lang w:eastAsia="ko-KR"/>
        </w:rPr>
        <w:t xml:space="preserve"> 49~54</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3</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균일해질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배치를</w:t>
      </w:r>
      <w:r w:rsidRPr="002C7F14">
        <w:rPr>
          <w:rFonts w:asciiTheme="minorEastAsia" w:eastAsiaTheme="minorEastAsia" w:hAnsiTheme="minorEastAsia" w:cs="맑은 고딕"/>
          <w:sz w:val="20"/>
          <w:szCs w:val="20"/>
          <w:lang w:eastAsia="ko-KR"/>
        </w:rPr>
        <w:t xml:space="preserve"> 35~41</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계속</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식힌다</w:t>
      </w:r>
      <w:r w:rsidRPr="002C7F14">
        <w:rPr>
          <w:rFonts w:asciiTheme="minorEastAsia" w:eastAsiaTheme="minorEastAsia" w:hAnsiTheme="minorEastAsia" w:cs="맑은 고딕"/>
          <w:sz w:val="20"/>
          <w:szCs w:val="20"/>
          <w:lang w:eastAsia="ko-KR"/>
        </w:rPr>
        <w:t>.</w:t>
      </w:r>
    </w:p>
    <w:p w14:paraId="308A5169" w14:textId="77777777" w:rsidR="00202E63" w:rsidRPr="002C7F14" w:rsidRDefault="00202E63" w:rsidP="006B41D1">
      <w:pPr>
        <w:pStyle w:val="a8"/>
        <w:numPr>
          <w:ilvl w:val="0"/>
          <w:numId w:val="72"/>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5</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100g</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35~41</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4</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D</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추가한다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균일해질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배치를</w:t>
      </w:r>
      <w:r w:rsidRPr="002C7F14">
        <w:rPr>
          <w:rFonts w:asciiTheme="minorEastAsia" w:eastAsiaTheme="minorEastAsia" w:hAnsiTheme="minorEastAsia" w:cs="맑은 고딕"/>
          <w:sz w:val="20"/>
          <w:szCs w:val="20"/>
          <w:lang w:eastAsia="ko-KR"/>
        </w:rPr>
        <w:t xml:space="preserve"> 27~32</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식힌다</w:t>
      </w:r>
      <w:r w:rsidRPr="002C7F14">
        <w:rPr>
          <w:rFonts w:asciiTheme="minorEastAsia" w:eastAsiaTheme="minorEastAsia" w:hAnsiTheme="minorEastAsia" w:cs="맑은 고딕"/>
          <w:sz w:val="20"/>
          <w:szCs w:val="20"/>
          <w:lang w:eastAsia="ko-KR"/>
        </w:rPr>
        <w:t>.</w:t>
      </w:r>
    </w:p>
    <w:p w14:paraId="4561F07A" w14:textId="77777777" w:rsidR="00202E63" w:rsidRPr="002C7F14" w:rsidRDefault="00202E63" w:rsidP="002B2753">
      <w:pPr>
        <w:spacing w:line="264" w:lineRule="auto"/>
        <w:jc w:val="both"/>
        <w:rPr>
          <w:rFonts w:asciiTheme="minorEastAsia" w:eastAsiaTheme="minorEastAsia" w:hAnsiTheme="minorEastAsia" w:cs="맑은 고딕"/>
          <w:sz w:val="20"/>
          <w:szCs w:val="20"/>
          <w:lang w:eastAsia="ko-KR"/>
        </w:rPr>
      </w:pPr>
    </w:p>
    <w:p w14:paraId="59534F29" w14:textId="77777777" w:rsidR="00202E63" w:rsidRPr="002C7F14" w:rsidRDefault="00202E63" w:rsidP="006B41D1">
      <w:pPr>
        <w:pStyle w:val="a8"/>
        <w:numPr>
          <w:ilvl w:val="0"/>
          <w:numId w:val="71"/>
        </w:numPr>
        <w:spacing w:line="264" w:lineRule="auto"/>
        <w:ind w:leftChars="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HPLC </w:t>
      </w:r>
      <w:r w:rsidRPr="002C7F14">
        <w:rPr>
          <w:rFonts w:asciiTheme="minorEastAsia" w:eastAsiaTheme="minorEastAsia" w:hAnsiTheme="minorEastAsia" w:cs="맑은 고딕" w:hint="eastAsia"/>
          <w:sz w:val="20"/>
          <w:szCs w:val="20"/>
          <w:lang w:eastAsia="ko-KR"/>
        </w:rPr>
        <w:t>분석</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농도를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고성능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액체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크로마토그래피</w:t>
      </w:r>
      <w:r w:rsidRPr="002C7F14">
        <w:rPr>
          <w:rFonts w:asciiTheme="minorEastAsia" w:eastAsiaTheme="minorEastAsia" w:hAnsiTheme="minorEastAsia" w:cs="맑은 고딕"/>
          <w:sz w:val="20"/>
          <w:szCs w:val="20"/>
          <w:lang w:eastAsia="ko-KR"/>
        </w:rPr>
        <w:t xml:space="preserve">(HPLC) </w:t>
      </w:r>
      <w:r w:rsidRPr="002C7F14">
        <w:rPr>
          <w:rFonts w:asciiTheme="minorEastAsia" w:eastAsiaTheme="minorEastAsia" w:hAnsiTheme="minorEastAsia" w:cs="맑은 고딕" w:hint="eastAsia"/>
          <w:sz w:val="20"/>
          <w:szCs w:val="20"/>
          <w:lang w:eastAsia="ko-KR"/>
        </w:rPr>
        <w:t>절차를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사용한다</w:t>
      </w:r>
      <w:r w:rsidRPr="002C7F14">
        <w:rPr>
          <w:rFonts w:asciiTheme="minorEastAsia" w:eastAsiaTheme="minorEastAsia" w:hAnsiTheme="minorEastAsia" w:cs="맑은 고딕"/>
          <w:sz w:val="20"/>
          <w:szCs w:val="20"/>
          <w:lang w:eastAsia="ko-KR"/>
        </w:rPr>
        <w:t>.</w:t>
      </w:r>
    </w:p>
    <w:p w14:paraId="6C10C5BD" w14:textId="77777777" w:rsidR="00202E63" w:rsidRPr="002C7F14" w:rsidRDefault="00202E63" w:rsidP="002B2753">
      <w:pPr>
        <w:spacing w:line="264" w:lineRule="auto"/>
        <w:jc w:val="both"/>
        <w:rPr>
          <w:rFonts w:asciiTheme="minorEastAsia" w:eastAsiaTheme="minorEastAsia" w:hAnsiTheme="minorEastAsia" w:cs="맑은 고딕"/>
          <w:sz w:val="20"/>
          <w:szCs w:val="20"/>
          <w:lang w:eastAsia="ko-KR"/>
        </w:rPr>
      </w:pPr>
    </w:p>
    <w:p w14:paraId="5A7EC870" w14:textId="77777777" w:rsidR="00202E63" w:rsidRPr="002C7F14" w:rsidRDefault="00202E63" w:rsidP="006B41D1">
      <w:pPr>
        <w:pStyle w:val="a8"/>
        <w:numPr>
          <w:ilvl w:val="0"/>
          <w:numId w:val="73"/>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계측기기</w:t>
      </w:r>
      <w:r w:rsidRPr="002C7F14">
        <w:rPr>
          <w:rFonts w:asciiTheme="minorEastAsia" w:eastAsiaTheme="minorEastAsia" w:hAnsiTheme="minorEastAsia" w:cs="맑은 고딕"/>
          <w:sz w:val="20"/>
          <w:szCs w:val="20"/>
          <w:lang w:eastAsia="ko-KR"/>
        </w:rPr>
        <w:t>.</w:t>
      </w:r>
    </w:p>
    <w:p w14:paraId="4CDC565D" w14:textId="77777777" w:rsidR="00202E63" w:rsidRPr="002C7F14" w:rsidRDefault="00202E63" w:rsidP="002B2753">
      <w:pPr>
        <w:spacing w:line="264" w:lineRule="auto"/>
        <w:jc w:val="both"/>
        <w:rPr>
          <w:rFonts w:asciiTheme="minorEastAsia" w:eastAsiaTheme="minorEastAsia" w:hAnsiTheme="minorEastAsia" w:cs="맑은 고딕"/>
          <w:sz w:val="20"/>
          <w:szCs w:val="20"/>
          <w:lang w:eastAsia="ko-KR"/>
        </w:rPr>
      </w:pPr>
    </w:p>
    <w:p w14:paraId="3BEA1A48" w14:textId="77777777" w:rsidR="00202E63" w:rsidRPr="002C7F14" w:rsidRDefault="00202E63" w:rsidP="006B41D1">
      <w:pPr>
        <w:pStyle w:val="a8"/>
        <w:numPr>
          <w:ilvl w:val="0"/>
          <w:numId w:val="74"/>
        </w:numPr>
        <w:spacing w:line="264" w:lineRule="auto"/>
        <w:ind w:leftChars="0" w:left="156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적합한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액체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크로마토그래프를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동등한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평형화한다</w:t>
      </w:r>
      <w:r w:rsidRPr="002C7F14">
        <w:rPr>
          <w:rFonts w:asciiTheme="minorEastAsia" w:eastAsiaTheme="minorEastAsia" w:hAnsiTheme="minorEastAsia" w:cs="맑은 고딕"/>
          <w:sz w:val="20"/>
          <w:szCs w:val="20"/>
          <w:lang w:eastAsia="ko-KR"/>
        </w:rP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1E0" w:firstRow="1" w:lastRow="1" w:firstColumn="1" w:lastColumn="1" w:noHBand="0" w:noVBand="0"/>
      </w:tblPr>
      <w:tblGrid>
        <w:gridCol w:w="1836"/>
        <w:gridCol w:w="7510"/>
      </w:tblGrid>
      <w:tr w:rsidR="0063516C" w:rsidRPr="002C7F14" w14:paraId="19CA3F19" w14:textId="77777777" w:rsidTr="0063516C">
        <w:trPr>
          <w:trHeight w:val="407"/>
        </w:trPr>
        <w:tc>
          <w:tcPr>
            <w:tcW w:w="1836" w:type="dxa"/>
            <w:tcBorders>
              <w:top w:val="single" w:sz="6" w:space="0" w:color="000000"/>
              <w:left w:val="single" w:sz="6" w:space="0" w:color="000000"/>
              <w:bottom w:val="single" w:sz="6" w:space="0" w:color="000000"/>
              <w:right w:val="single" w:sz="6" w:space="0" w:color="000000"/>
            </w:tcBorders>
            <w:hideMark/>
          </w:tcPr>
          <w:p w14:paraId="319BD195"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(1) </w:t>
            </w:r>
            <w:r w:rsidRPr="002C7F14">
              <w:rPr>
                <w:rFonts w:asciiTheme="minorEastAsia" w:eastAsiaTheme="minorEastAsia" w:hAnsiTheme="minorEastAsia" w:hint="eastAsia"/>
                <w:sz w:val="20"/>
                <w:lang w:eastAsia="ko-KR"/>
              </w:rPr>
              <w:t>컬럼</w:t>
            </w:r>
          </w:p>
        </w:tc>
        <w:tc>
          <w:tcPr>
            <w:tcW w:w="7510" w:type="dxa"/>
            <w:tcBorders>
              <w:top w:val="single" w:sz="6" w:space="0" w:color="000000"/>
              <w:left w:val="single" w:sz="6" w:space="0" w:color="000000"/>
              <w:bottom w:val="single" w:sz="6" w:space="0" w:color="000000"/>
              <w:right w:val="single" w:sz="6" w:space="0" w:color="000000"/>
            </w:tcBorders>
            <w:hideMark/>
          </w:tcPr>
          <w:p w14:paraId="41C410EE"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C-18, </w:t>
            </w:r>
            <w:r w:rsidRPr="002C7F14">
              <w:rPr>
                <w:rFonts w:asciiTheme="minorEastAsia" w:eastAsiaTheme="minorEastAsia" w:hAnsiTheme="minorEastAsia" w:hint="eastAsia"/>
                <w:sz w:val="20"/>
                <w:lang w:eastAsia="ko-KR"/>
              </w:rPr>
              <w:t>길이</w:t>
            </w:r>
            <w:r w:rsidRPr="002C7F14">
              <w:rPr>
                <w:rFonts w:asciiTheme="minorEastAsia" w:eastAsiaTheme="minorEastAsia" w:hAnsiTheme="minorEastAsia"/>
                <w:sz w:val="20"/>
                <w:lang w:eastAsia="ko-KR"/>
              </w:rPr>
              <w:t xml:space="preserve"> 250 </w:t>
            </w:r>
            <w:r w:rsidRPr="002C7F14">
              <w:rPr>
                <w:rFonts w:asciiTheme="minorEastAsia" w:eastAsiaTheme="minorEastAsia" w:hAnsiTheme="minorEastAsia" w:hint="eastAsia"/>
                <w:sz w:val="20"/>
                <w:lang w:eastAsia="ko-KR"/>
              </w:rPr>
              <w:t>밀리미터</w:t>
            </w:r>
            <w:r w:rsidRPr="002C7F14">
              <w:rPr>
                <w:rFonts w:asciiTheme="minorEastAsia" w:eastAsiaTheme="minorEastAsia" w:hAnsiTheme="minorEastAsia"/>
                <w:sz w:val="20"/>
                <w:lang w:eastAsia="ko-KR"/>
              </w:rPr>
              <w:t xml:space="preserve">(mm), </w:t>
            </w:r>
            <w:r w:rsidRPr="002C7F14">
              <w:rPr>
                <w:rFonts w:asciiTheme="minorEastAsia" w:eastAsiaTheme="minorEastAsia" w:hAnsiTheme="minorEastAsia" w:hint="eastAsia"/>
                <w:sz w:val="20"/>
                <w:lang w:eastAsia="ko-KR"/>
              </w:rPr>
              <w:t>내경</w:t>
            </w:r>
            <w:r w:rsidRPr="002C7F14">
              <w:rPr>
                <w:rFonts w:asciiTheme="minorEastAsia" w:eastAsiaTheme="minorEastAsia" w:hAnsiTheme="minorEastAsia"/>
                <w:sz w:val="20"/>
                <w:lang w:eastAsia="ko-KR"/>
              </w:rPr>
              <w:t xml:space="preserve"> 4.6 mm(5 </w:t>
            </w:r>
            <w:r w:rsidRPr="002C7F14">
              <w:rPr>
                <w:rFonts w:asciiTheme="minorEastAsia" w:eastAsiaTheme="minorEastAsia" w:hAnsiTheme="minorEastAsia" w:hint="eastAsia"/>
                <w:sz w:val="20"/>
                <w:lang w:eastAsia="ko-KR"/>
              </w:rPr>
              <w:t>마이크론</w:t>
            </w:r>
            <w:r w:rsidRPr="002C7F14">
              <w:rPr>
                <w:rFonts w:asciiTheme="minorEastAsia" w:eastAsiaTheme="minorEastAsia" w:hAnsiTheme="minorEastAsia"/>
                <w:sz w:val="20"/>
                <w:lang w:eastAsia="ko-KR"/>
              </w:rPr>
              <w:t>)</w:t>
            </w:r>
          </w:p>
        </w:tc>
      </w:tr>
      <w:tr w:rsidR="0063516C" w:rsidRPr="002C7F14" w14:paraId="5B175FDF" w14:textId="77777777" w:rsidTr="0063516C">
        <w:trPr>
          <w:trHeight w:val="409"/>
        </w:trPr>
        <w:tc>
          <w:tcPr>
            <w:tcW w:w="1836" w:type="dxa"/>
            <w:tcBorders>
              <w:top w:val="single" w:sz="6" w:space="0" w:color="000000"/>
              <w:left w:val="single" w:sz="6" w:space="0" w:color="000000"/>
              <w:bottom w:val="single" w:sz="6" w:space="0" w:color="000000"/>
              <w:right w:val="single" w:sz="6" w:space="0" w:color="000000"/>
            </w:tcBorders>
            <w:hideMark/>
          </w:tcPr>
          <w:p w14:paraId="7EE3643D"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(2) </w:t>
            </w:r>
            <w:r w:rsidRPr="002C7F14">
              <w:rPr>
                <w:rFonts w:asciiTheme="minorEastAsia" w:eastAsiaTheme="minorEastAsia" w:hAnsiTheme="minorEastAsia" w:hint="eastAsia"/>
                <w:sz w:val="20"/>
                <w:lang w:eastAsia="ko-KR"/>
              </w:rPr>
              <w:t>이동상</w:t>
            </w:r>
          </w:p>
        </w:tc>
        <w:tc>
          <w:tcPr>
            <w:tcW w:w="7510" w:type="dxa"/>
            <w:tcBorders>
              <w:top w:val="single" w:sz="6" w:space="0" w:color="000000"/>
              <w:left w:val="single" w:sz="6" w:space="0" w:color="000000"/>
              <w:bottom w:val="single" w:sz="6" w:space="0" w:color="000000"/>
              <w:right w:val="single" w:sz="6" w:space="0" w:color="000000"/>
            </w:tcBorders>
            <w:hideMark/>
          </w:tcPr>
          <w:p w14:paraId="74898745"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85:15:0.5 </w:t>
            </w:r>
            <w:r w:rsidRPr="002C7F14">
              <w:rPr>
                <w:rFonts w:asciiTheme="minorEastAsia" w:eastAsiaTheme="minorEastAsia" w:hAnsiTheme="minorEastAsia" w:hint="eastAsia"/>
                <w:sz w:val="20"/>
                <w:lang w:eastAsia="ko-KR"/>
              </w:rPr>
              <w:t>메탄올</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물</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아세트산</w:t>
            </w:r>
          </w:p>
        </w:tc>
      </w:tr>
      <w:tr w:rsidR="0063516C" w:rsidRPr="002C7F14" w14:paraId="2203725A" w14:textId="77777777" w:rsidTr="0063516C">
        <w:trPr>
          <w:trHeight w:val="407"/>
        </w:trPr>
        <w:tc>
          <w:tcPr>
            <w:tcW w:w="1836" w:type="dxa"/>
            <w:tcBorders>
              <w:top w:val="single" w:sz="6" w:space="0" w:color="000000"/>
              <w:left w:val="single" w:sz="6" w:space="0" w:color="000000"/>
              <w:bottom w:val="single" w:sz="6" w:space="0" w:color="000000"/>
              <w:right w:val="single" w:sz="6" w:space="0" w:color="000000"/>
            </w:tcBorders>
            <w:hideMark/>
          </w:tcPr>
          <w:p w14:paraId="2AC5C6F4"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(3) </w:t>
            </w:r>
            <w:r w:rsidRPr="002C7F14">
              <w:rPr>
                <w:rFonts w:asciiTheme="minorEastAsia" w:eastAsiaTheme="minorEastAsia" w:hAnsiTheme="minorEastAsia" w:hint="eastAsia"/>
                <w:sz w:val="20"/>
                <w:lang w:eastAsia="ko-KR"/>
              </w:rPr>
              <w:t>유량</w:t>
            </w:r>
          </w:p>
        </w:tc>
        <w:tc>
          <w:tcPr>
            <w:tcW w:w="7510" w:type="dxa"/>
            <w:tcBorders>
              <w:top w:val="single" w:sz="6" w:space="0" w:color="000000"/>
              <w:left w:val="single" w:sz="6" w:space="0" w:color="000000"/>
              <w:bottom w:val="single" w:sz="6" w:space="0" w:color="000000"/>
              <w:right w:val="single" w:sz="6" w:space="0" w:color="000000"/>
            </w:tcBorders>
            <w:hideMark/>
          </w:tcPr>
          <w:p w14:paraId="006E496C"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분당</w:t>
            </w:r>
            <w:r w:rsidRPr="002C7F14">
              <w:rPr>
                <w:rFonts w:asciiTheme="minorEastAsia" w:eastAsiaTheme="minorEastAsia" w:hAnsiTheme="minorEastAsia"/>
                <w:sz w:val="20"/>
                <w:lang w:eastAsia="ko-KR"/>
              </w:rPr>
              <w:t xml:space="preserve"> 1.5 </w:t>
            </w:r>
            <w:r w:rsidRPr="002C7F14">
              <w:rPr>
                <w:rFonts w:asciiTheme="minorEastAsia" w:eastAsiaTheme="minorEastAsia" w:hAnsiTheme="minorEastAsia" w:hint="eastAsia"/>
                <w:sz w:val="20"/>
                <w:lang w:eastAsia="ko-KR"/>
              </w:rPr>
              <w:t>밀리리터</w:t>
            </w:r>
            <w:r w:rsidRPr="002C7F14">
              <w:rPr>
                <w:rFonts w:asciiTheme="minorEastAsia" w:eastAsiaTheme="minorEastAsia" w:hAnsiTheme="minorEastAsia"/>
                <w:sz w:val="20"/>
                <w:lang w:eastAsia="ko-KR"/>
              </w:rPr>
              <w:t>(mL)</w:t>
            </w:r>
          </w:p>
        </w:tc>
      </w:tr>
      <w:tr w:rsidR="0063516C" w:rsidRPr="002C7F14" w14:paraId="02542B36" w14:textId="77777777" w:rsidTr="0063516C">
        <w:trPr>
          <w:trHeight w:val="407"/>
        </w:trPr>
        <w:tc>
          <w:tcPr>
            <w:tcW w:w="1836" w:type="dxa"/>
            <w:tcBorders>
              <w:top w:val="single" w:sz="6" w:space="0" w:color="000000"/>
              <w:left w:val="single" w:sz="6" w:space="0" w:color="000000"/>
              <w:bottom w:val="single" w:sz="6" w:space="0" w:color="000000"/>
              <w:right w:val="single" w:sz="6" w:space="0" w:color="000000"/>
            </w:tcBorders>
            <w:hideMark/>
          </w:tcPr>
          <w:p w14:paraId="7946B06C"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(4) </w:t>
            </w:r>
            <w:r w:rsidRPr="002C7F14">
              <w:rPr>
                <w:rFonts w:asciiTheme="minorEastAsia" w:eastAsiaTheme="minorEastAsia" w:hAnsiTheme="minorEastAsia" w:hint="eastAsia"/>
                <w:sz w:val="20"/>
                <w:lang w:eastAsia="ko-KR"/>
              </w:rPr>
              <w:t>온도</w:t>
            </w:r>
          </w:p>
        </w:tc>
        <w:tc>
          <w:tcPr>
            <w:tcW w:w="7510" w:type="dxa"/>
            <w:tcBorders>
              <w:top w:val="single" w:sz="6" w:space="0" w:color="000000"/>
              <w:left w:val="single" w:sz="6" w:space="0" w:color="000000"/>
              <w:bottom w:val="single" w:sz="6" w:space="0" w:color="000000"/>
              <w:right w:val="single" w:sz="6" w:space="0" w:color="000000"/>
            </w:tcBorders>
            <w:hideMark/>
          </w:tcPr>
          <w:p w14:paraId="27EB20C0"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주변</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온도</w:t>
            </w:r>
          </w:p>
        </w:tc>
      </w:tr>
      <w:tr w:rsidR="0063516C" w:rsidRPr="002C7F14" w14:paraId="2FE05167" w14:textId="77777777" w:rsidTr="0063516C">
        <w:trPr>
          <w:trHeight w:val="407"/>
        </w:trPr>
        <w:tc>
          <w:tcPr>
            <w:tcW w:w="1836" w:type="dxa"/>
            <w:tcBorders>
              <w:top w:val="single" w:sz="6" w:space="0" w:color="000000"/>
              <w:left w:val="single" w:sz="6" w:space="0" w:color="000000"/>
              <w:bottom w:val="single" w:sz="6" w:space="0" w:color="000000"/>
              <w:right w:val="single" w:sz="6" w:space="0" w:color="000000"/>
            </w:tcBorders>
            <w:hideMark/>
          </w:tcPr>
          <w:p w14:paraId="720A78B4"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(5) </w:t>
            </w:r>
            <w:r w:rsidRPr="002C7F14">
              <w:rPr>
                <w:rFonts w:asciiTheme="minorEastAsia" w:eastAsiaTheme="minorEastAsia" w:hAnsiTheme="minorEastAsia" w:hint="eastAsia"/>
                <w:sz w:val="20"/>
                <w:lang w:eastAsia="ko-KR"/>
              </w:rPr>
              <w:t>검출기</w:t>
            </w:r>
          </w:p>
        </w:tc>
        <w:tc>
          <w:tcPr>
            <w:tcW w:w="7510" w:type="dxa"/>
            <w:tcBorders>
              <w:top w:val="single" w:sz="6" w:space="0" w:color="000000"/>
              <w:left w:val="single" w:sz="6" w:space="0" w:color="000000"/>
              <w:bottom w:val="single" w:sz="6" w:space="0" w:color="000000"/>
              <w:right w:val="single" w:sz="6" w:space="0" w:color="000000"/>
            </w:tcBorders>
            <w:hideMark/>
          </w:tcPr>
          <w:p w14:paraId="16C5732D"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308 </w:t>
            </w:r>
            <w:r w:rsidRPr="002C7F14">
              <w:rPr>
                <w:rFonts w:asciiTheme="minorEastAsia" w:eastAsiaTheme="minorEastAsia" w:hAnsiTheme="minorEastAsia" w:hint="eastAsia"/>
                <w:sz w:val="20"/>
                <w:lang w:eastAsia="ko-KR"/>
              </w:rPr>
              <w:t>나노미터</w:t>
            </w:r>
            <w:r w:rsidRPr="002C7F14">
              <w:rPr>
                <w:rFonts w:asciiTheme="minorEastAsia" w:eastAsiaTheme="minorEastAsia" w:hAnsiTheme="minorEastAsia"/>
                <w:sz w:val="20"/>
                <w:lang w:eastAsia="ko-KR"/>
              </w:rPr>
              <w:t xml:space="preserve"> UV </w:t>
            </w:r>
            <w:r w:rsidRPr="002C7F14">
              <w:rPr>
                <w:rFonts w:asciiTheme="minorEastAsia" w:eastAsiaTheme="minorEastAsia" w:hAnsiTheme="minorEastAsia" w:hint="eastAsia"/>
                <w:sz w:val="20"/>
                <w:lang w:eastAsia="ko-KR"/>
              </w:rPr>
              <w:t>분광광도계</w:t>
            </w:r>
          </w:p>
        </w:tc>
      </w:tr>
      <w:tr w:rsidR="0063516C" w:rsidRPr="002C7F14" w14:paraId="65A2F23A" w14:textId="77777777" w:rsidTr="0063516C">
        <w:trPr>
          <w:trHeight w:val="409"/>
        </w:trPr>
        <w:tc>
          <w:tcPr>
            <w:tcW w:w="1836" w:type="dxa"/>
            <w:tcBorders>
              <w:top w:val="single" w:sz="6" w:space="0" w:color="000000"/>
              <w:left w:val="single" w:sz="6" w:space="0" w:color="000000"/>
              <w:bottom w:val="single" w:sz="6" w:space="0" w:color="000000"/>
              <w:right w:val="single" w:sz="6" w:space="0" w:color="000000"/>
            </w:tcBorders>
            <w:hideMark/>
          </w:tcPr>
          <w:p w14:paraId="4B9F9DE8"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sz w:val="20"/>
                <w:lang w:eastAsia="ko-KR"/>
              </w:rPr>
              <w:t xml:space="preserve">(6) </w:t>
            </w:r>
            <w:r w:rsidRPr="002C7F14">
              <w:rPr>
                <w:rFonts w:asciiTheme="minorEastAsia" w:eastAsiaTheme="minorEastAsia" w:hAnsiTheme="minorEastAsia" w:hint="eastAsia"/>
                <w:sz w:val="20"/>
                <w:lang w:eastAsia="ko-KR"/>
              </w:rPr>
              <w:t>감쇠</w:t>
            </w:r>
          </w:p>
        </w:tc>
        <w:tc>
          <w:tcPr>
            <w:tcW w:w="7510" w:type="dxa"/>
            <w:tcBorders>
              <w:top w:val="single" w:sz="6" w:space="0" w:color="000000"/>
              <w:left w:val="single" w:sz="6" w:space="0" w:color="000000"/>
              <w:bottom w:val="single" w:sz="6" w:space="0" w:color="000000"/>
              <w:right w:val="single" w:sz="6" w:space="0" w:color="000000"/>
            </w:tcBorders>
            <w:hideMark/>
          </w:tcPr>
          <w:p w14:paraId="45799DAE" w14:textId="77777777" w:rsidR="0063516C" w:rsidRPr="002C7F14" w:rsidRDefault="0063516C" w:rsidP="0063516C">
            <w:pPr>
              <w:pStyle w:val="TableParagraph"/>
              <w:ind w:left="0"/>
              <w:rPr>
                <w:rFonts w:asciiTheme="minorEastAsia" w:eastAsiaTheme="minorEastAsia" w:hAnsiTheme="minorEastAsia"/>
                <w:sz w:val="20"/>
                <w:lang w:eastAsia="ko-KR"/>
              </w:rPr>
            </w:pPr>
            <w:r w:rsidRPr="002C7F14">
              <w:rPr>
                <w:rFonts w:asciiTheme="minorEastAsia" w:eastAsiaTheme="minorEastAsia" w:hAnsiTheme="minorEastAsia" w:hint="eastAsia"/>
                <w:sz w:val="20"/>
                <w:lang w:eastAsia="ko-KR"/>
              </w:rPr>
              <w:t>필요에</w:t>
            </w:r>
            <w:r w:rsidRPr="002C7F14">
              <w:rPr>
                <w:rFonts w:asciiTheme="minorEastAsia" w:eastAsiaTheme="minorEastAsia" w:hAnsiTheme="minorEastAsia"/>
                <w:sz w:val="20"/>
                <w:lang w:eastAsia="ko-KR"/>
              </w:rPr>
              <w:t xml:space="preserve"> </w:t>
            </w:r>
            <w:r w:rsidRPr="002C7F14">
              <w:rPr>
                <w:rFonts w:asciiTheme="minorEastAsia" w:eastAsiaTheme="minorEastAsia" w:hAnsiTheme="minorEastAsia" w:hint="eastAsia"/>
                <w:sz w:val="20"/>
                <w:lang w:eastAsia="ko-KR"/>
              </w:rPr>
              <w:t>따라</w:t>
            </w:r>
          </w:p>
        </w:tc>
      </w:tr>
    </w:tbl>
    <w:p w14:paraId="61661CDF" w14:textId="77777777" w:rsidR="00D14F24" w:rsidRPr="002C7F14" w:rsidRDefault="00D14F24" w:rsidP="002B2753">
      <w:pPr>
        <w:spacing w:line="264" w:lineRule="auto"/>
        <w:jc w:val="both"/>
        <w:rPr>
          <w:rFonts w:asciiTheme="minorEastAsia" w:eastAsiaTheme="minorEastAsia" w:hAnsiTheme="minorEastAsia" w:cs="맑은 고딕"/>
          <w:sz w:val="20"/>
          <w:szCs w:val="20"/>
          <w:lang w:eastAsia="ko-KR"/>
        </w:rPr>
      </w:pPr>
    </w:p>
    <w:p w14:paraId="295433F8" w14:textId="77777777" w:rsidR="0063516C" w:rsidRPr="002C7F14" w:rsidRDefault="0063516C" w:rsidP="006B41D1">
      <w:pPr>
        <w:pStyle w:val="a8"/>
        <w:numPr>
          <w:ilvl w:val="0"/>
          <w:numId w:val="74"/>
        </w:numPr>
        <w:spacing w:line="264" w:lineRule="auto"/>
        <w:ind w:leftChars="0" w:left="156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이동상에</w:t>
      </w:r>
      <w:r w:rsidRPr="002C7F14">
        <w:rPr>
          <w:rFonts w:asciiTheme="minorEastAsia" w:eastAsiaTheme="minorEastAsia" w:hAnsiTheme="minorEastAsia" w:cs="맑은 고딕"/>
          <w:sz w:val="20"/>
          <w:szCs w:val="20"/>
          <w:lang w:eastAsia="ko-KR"/>
        </w:rPr>
        <w:t xml:space="preserve"> HPLC </w:t>
      </w:r>
      <w:r w:rsidRPr="002C7F14">
        <w:rPr>
          <w:rFonts w:asciiTheme="minorEastAsia" w:eastAsiaTheme="minorEastAsia" w:hAnsiTheme="minorEastAsia" w:cs="맑은 고딕" w:hint="eastAsia"/>
          <w:sz w:val="20"/>
          <w:szCs w:val="20"/>
          <w:lang w:eastAsia="ko-KR"/>
        </w:rPr>
        <w:t>등급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시약을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사용한다</w:t>
      </w:r>
      <w:r w:rsidRPr="002C7F14">
        <w:rPr>
          <w:rFonts w:asciiTheme="minorEastAsia" w:eastAsiaTheme="minorEastAsia" w:hAnsiTheme="minorEastAsia" w:cs="맑은 고딕"/>
          <w:sz w:val="20"/>
          <w:szCs w:val="20"/>
          <w:lang w:eastAsia="ko-KR"/>
        </w:rPr>
        <w:t>.</w:t>
      </w:r>
    </w:p>
    <w:p w14:paraId="1E5A864A"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11DE8C84" w14:textId="77777777" w:rsidR="0063516C" w:rsidRPr="002C7F14" w:rsidRDefault="0063516C" w:rsidP="006B41D1">
      <w:pPr>
        <w:pStyle w:val="a8"/>
        <w:numPr>
          <w:ilvl w:val="0"/>
          <w:numId w:val="73"/>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HPLC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준비</w:t>
      </w:r>
    </w:p>
    <w:p w14:paraId="21C1704F"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14FE3DB3" w14:textId="77777777" w:rsidR="0063516C" w:rsidRPr="002C7F14" w:rsidRDefault="0063516C" w:rsidP="006B41D1">
      <w:pPr>
        <w:pStyle w:val="a8"/>
        <w:numPr>
          <w:ilvl w:val="0"/>
          <w:numId w:val="75"/>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USP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0.5 </w:t>
      </w:r>
      <w:r w:rsidRPr="002C7F14">
        <w:rPr>
          <w:rFonts w:asciiTheme="minorEastAsia" w:eastAsiaTheme="minorEastAsia" w:hAnsiTheme="minorEastAsia" w:cs="맑은 고딕" w:hint="eastAsia"/>
          <w:sz w:val="20"/>
          <w:szCs w:val="20"/>
          <w:lang w:eastAsia="ko-KR"/>
        </w:rPr>
        <w:t>그램</w:t>
      </w:r>
      <w:r w:rsidRPr="002C7F14">
        <w:rPr>
          <w:rFonts w:asciiTheme="minorEastAsia" w:eastAsiaTheme="minorEastAsia" w:hAnsiTheme="minorEastAsia" w:cs="맑은 고딕"/>
          <w:sz w:val="20"/>
          <w:szCs w:val="20"/>
          <w:lang w:eastAsia="ko-KR"/>
        </w:rPr>
        <w:t>(g)</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250mL </w:t>
      </w:r>
      <w:r w:rsidRPr="002C7F14">
        <w:rPr>
          <w:rFonts w:asciiTheme="minorEastAsia" w:eastAsiaTheme="minorEastAsia" w:hAnsiTheme="minorEastAsia" w:cs="맑은 고딕" w:hint="eastAsia"/>
          <w:sz w:val="20"/>
          <w:szCs w:val="20"/>
          <w:lang w:eastAsia="ko-KR"/>
        </w:rPr>
        <w:t>용량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플라스크에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이소프로판올로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녹이고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부피에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맞게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7891BBF0" w14:textId="77777777" w:rsidR="0063516C" w:rsidRPr="002C7F14" w:rsidRDefault="0063516C" w:rsidP="0063516C">
      <w:pPr>
        <w:spacing w:line="264" w:lineRule="auto"/>
        <w:ind w:left="1134"/>
        <w:jc w:val="both"/>
        <w:rPr>
          <w:rFonts w:asciiTheme="minorEastAsia" w:eastAsiaTheme="minorEastAsia" w:hAnsiTheme="minorEastAsia" w:cs="맑은 고딕"/>
          <w:sz w:val="20"/>
          <w:szCs w:val="20"/>
          <w:lang w:eastAsia="ko-KR"/>
        </w:rPr>
      </w:pPr>
    </w:p>
    <w:p w14:paraId="2F433C35" w14:textId="09E3E412" w:rsidR="00D14F24" w:rsidRPr="002C7F14" w:rsidRDefault="0063516C" w:rsidP="006B41D1">
      <w:pPr>
        <w:pStyle w:val="a8"/>
        <w:numPr>
          <w:ilvl w:val="0"/>
          <w:numId w:val="75"/>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 USP </w:t>
      </w:r>
      <w:r w:rsidRPr="002C7F14">
        <w:rPr>
          <w:rFonts w:asciiTheme="minorEastAsia" w:eastAsiaTheme="minorEastAsia" w:hAnsiTheme="minorEastAsia" w:cs="맑은 고딕" w:hint="eastAsia"/>
          <w:sz w:val="20"/>
          <w:szCs w:val="20"/>
          <w:lang w:eastAsia="ko-KR"/>
        </w:rPr>
        <w:t>표준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시료</w:t>
      </w:r>
      <w:r w:rsidRPr="002C7F14">
        <w:rPr>
          <w:rFonts w:asciiTheme="minorEastAsia" w:eastAsiaTheme="minorEastAsia" w:hAnsiTheme="minorEastAsia" w:cs="맑은 고딕"/>
          <w:sz w:val="20"/>
          <w:szCs w:val="20"/>
          <w:lang w:eastAsia="ko-KR"/>
        </w:rPr>
        <w:t xml:space="preserve"> 0.5g</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250mL </w:t>
      </w:r>
      <w:r w:rsidRPr="002C7F14">
        <w:rPr>
          <w:rFonts w:asciiTheme="minorEastAsia" w:eastAsiaTheme="minorEastAsia" w:hAnsiTheme="minorEastAsia" w:cs="맑은 고딕" w:hint="eastAsia"/>
          <w:sz w:val="20"/>
          <w:szCs w:val="20"/>
          <w:lang w:eastAsia="ko-KR"/>
        </w:rPr>
        <w:t>용량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플라스크에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이소프로판올로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녹이고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부피에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맞게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0B579F93" w14:textId="3B9183CC" w:rsidR="00D14F24" w:rsidRPr="002C7F14" w:rsidRDefault="00D14F24" w:rsidP="00EF791F">
      <w:pPr>
        <w:spacing w:line="264" w:lineRule="auto"/>
        <w:jc w:val="both"/>
        <w:rPr>
          <w:rFonts w:asciiTheme="minorEastAsia" w:eastAsiaTheme="minorEastAsia" w:hAnsiTheme="minorEastAsia" w:cs="맑은 고딕"/>
          <w:sz w:val="20"/>
          <w:szCs w:val="20"/>
          <w:lang w:eastAsia="ko-KR"/>
        </w:rPr>
      </w:pPr>
    </w:p>
    <w:p w14:paraId="27FE2A7F" w14:textId="77777777" w:rsidR="0063516C" w:rsidRPr="002C7F14" w:rsidRDefault="0063516C" w:rsidP="006B41D1">
      <w:pPr>
        <w:pStyle w:val="a8"/>
        <w:numPr>
          <w:ilvl w:val="0"/>
          <w:numId w:val="75"/>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용액</w:t>
      </w:r>
      <w:r w:rsidRPr="002C7F14">
        <w:rPr>
          <w:rFonts w:asciiTheme="minorEastAsia" w:eastAsiaTheme="minorEastAsia" w:hAnsiTheme="minorEastAsia" w:cs="맑은 고딕"/>
          <w:sz w:val="20"/>
          <w:szCs w:val="20"/>
          <w:lang w:eastAsia="ko-KR"/>
        </w:rPr>
        <w:t xml:space="preserve"> 3mL</w:t>
      </w:r>
      <w:r w:rsidRPr="002C7F14">
        <w:rPr>
          <w:rFonts w:asciiTheme="minorEastAsia" w:eastAsiaTheme="minorEastAsia" w:hAnsiTheme="minorEastAsia" w:cs="맑은 고딕" w:hint="eastAsia"/>
          <w:sz w:val="20"/>
          <w:szCs w:val="20"/>
          <w:lang w:eastAsia="ko-KR"/>
        </w:rPr>
        <w:t>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 </w:t>
      </w:r>
      <w:r w:rsidRPr="002C7F14">
        <w:rPr>
          <w:rFonts w:asciiTheme="minorEastAsia" w:eastAsiaTheme="minorEastAsia" w:hAnsiTheme="minorEastAsia" w:cs="맑은 고딕" w:hint="eastAsia"/>
          <w:sz w:val="20"/>
          <w:szCs w:val="20"/>
          <w:lang w:eastAsia="ko-KR"/>
        </w:rPr>
        <w:t>용액</w:t>
      </w:r>
      <w:r w:rsidRPr="002C7F14">
        <w:rPr>
          <w:rFonts w:asciiTheme="minorEastAsia" w:eastAsiaTheme="minorEastAsia" w:hAnsiTheme="minorEastAsia" w:cs="맑은 고딕"/>
          <w:sz w:val="20"/>
          <w:szCs w:val="20"/>
          <w:lang w:eastAsia="ko-KR"/>
        </w:rPr>
        <w:t xml:space="preserve"> 7mL</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100mL </w:t>
      </w:r>
      <w:r w:rsidRPr="002C7F14">
        <w:rPr>
          <w:rFonts w:asciiTheme="minorEastAsia" w:eastAsiaTheme="minorEastAsia" w:hAnsiTheme="minorEastAsia" w:cs="맑은 고딕" w:hint="eastAsia"/>
          <w:sz w:val="20"/>
          <w:szCs w:val="20"/>
          <w:lang w:eastAsia="ko-KR"/>
        </w:rPr>
        <w:t>용량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플라스크에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피펫으로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넣는다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이소프로판올로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부피에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맞게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5CB11789"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10E0D4F7" w14:textId="77777777" w:rsidR="0063516C" w:rsidRPr="002C7F14" w:rsidRDefault="0063516C" w:rsidP="006B41D1">
      <w:pPr>
        <w:pStyle w:val="a8"/>
        <w:numPr>
          <w:ilvl w:val="0"/>
          <w:numId w:val="73"/>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HPLC </w:t>
      </w:r>
      <w:r w:rsidRPr="002C7F14">
        <w:rPr>
          <w:rFonts w:asciiTheme="minorEastAsia" w:eastAsiaTheme="minorEastAsia" w:hAnsiTheme="minorEastAsia" w:cs="맑은 고딕" w:hint="eastAsia"/>
          <w:sz w:val="20"/>
          <w:szCs w:val="20"/>
          <w:lang w:eastAsia="ko-KR"/>
        </w:rPr>
        <w:t>시스템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적합성</w:t>
      </w:r>
    </w:p>
    <w:p w14:paraId="1C56B451"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45503DD3" w14:textId="77777777" w:rsidR="0063516C" w:rsidRPr="002C7F14" w:rsidRDefault="0063516C" w:rsidP="006B41D1">
      <w:pPr>
        <w:pStyle w:val="a8"/>
        <w:numPr>
          <w:ilvl w:val="0"/>
          <w:numId w:val="76"/>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M020.80(c)(2)(ii)</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HPLC </w:t>
      </w:r>
      <w:r w:rsidRPr="002C7F14">
        <w:rPr>
          <w:rFonts w:asciiTheme="minorEastAsia" w:eastAsiaTheme="minorEastAsia" w:hAnsiTheme="minorEastAsia" w:cs="맑은 고딕" w:hint="eastAsia"/>
          <w:sz w:val="20"/>
          <w:szCs w:val="20"/>
          <w:lang w:eastAsia="ko-KR"/>
        </w:rPr>
        <w:t>표준시료를</w:t>
      </w:r>
      <w:r w:rsidRPr="002C7F14">
        <w:rPr>
          <w:rFonts w:asciiTheme="minorEastAsia" w:eastAsiaTheme="minorEastAsia" w:hAnsiTheme="minorEastAsia" w:cs="맑은 고딕"/>
          <w:sz w:val="20"/>
          <w:szCs w:val="20"/>
          <w:lang w:eastAsia="ko-KR"/>
        </w:rPr>
        <w:t xml:space="preserve"> 10 </w:t>
      </w:r>
      <w:r w:rsidRPr="002C7F14">
        <w:rPr>
          <w:rFonts w:asciiTheme="minorEastAsia" w:eastAsiaTheme="minorEastAsia" w:hAnsiTheme="minorEastAsia" w:cs="맑은 고딕" w:hint="eastAsia"/>
          <w:sz w:val="20"/>
          <w:szCs w:val="20"/>
          <w:lang w:eastAsia="ko-KR"/>
        </w:rPr>
        <w:t>마이크로리터씩</w:t>
      </w:r>
      <w:r w:rsidRPr="002C7F14">
        <w:rPr>
          <w:rFonts w:asciiTheme="minorEastAsia" w:eastAsiaTheme="minorEastAsia" w:hAnsiTheme="minorEastAsia" w:cs="맑은 고딕"/>
          <w:sz w:val="20"/>
          <w:szCs w:val="20"/>
          <w:lang w:eastAsia="ko-KR"/>
        </w:rPr>
        <w:t xml:space="preserve"> 3</w:t>
      </w:r>
      <w:r w:rsidRPr="002C7F14">
        <w:rPr>
          <w:rFonts w:asciiTheme="minorEastAsia" w:eastAsiaTheme="minorEastAsia" w:hAnsiTheme="minorEastAsia" w:cs="맑은 고딕" w:hint="eastAsia"/>
          <w:sz w:val="20"/>
          <w:szCs w:val="20"/>
          <w:lang w:eastAsia="ko-KR"/>
        </w:rPr>
        <w:t>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반복</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주입한다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상대표준편차는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옥시벤존이나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 </w:t>
      </w:r>
      <w:r w:rsidRPr="002C7F14">
        <w:rPr>
          <w:rFonts w:asciiTheme="minorEastAsia" w:eastAsiaTheme="minorEastAsia" w:hAnsiTheme="minorEastAsia" w:cs="맑은 고딕" w:hint="eastAsia"/>
          <w:sz w:val="20"/>
          <w:szCs w:val="20"/>
          <w:lang w:eastAsia="ko-KR"/>
        </w:rPr>
        <w:t>모두</w:t>
      </w:r>
      <w:r w:rsidRPr="002C7F14">
        <w:rPr>
          <w:rFonts w:asciiTheme="minorEastAsia" w:eastAsiaTheme="minorEastAsia" w:hAnsiTheme="minorEastAsia" w:cs="맑은 고딕"/>
          <w:sz w:val="20"/>
          <w:szCs w:val="20"/>
          <w:lang w:eastAsia="ko-KR"/>
        </w:rPr>
        <w:t xml:space="preserve"> 2%</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초과하지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않아야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2609C8C" w14:textId="77777777" w:rsidR="0063516C" w:rsidRPr="002C7F14" w:rsidRDefault="0063516C" w:rsidP="0063516C">
      <w:pPr>
        <w:spacing w:line="264" w:lineRule="auto"/>
        <w:ind w:left="1134"/>
        <w:jc w:val="both"/>
        <w:rPr>
          <w:rFonts w:asciiTheme="minorEastAsia" w:eastAsiaTheme="minorEastAsia" w:hAnsiTheme="minorEastAsia" w:cs="맑은 고딕"/>
          <w:sz w:val="20"/>
          <w:szCs w:val="20"/>
          <w:lang w:eastAsia="ko-KR"/>
        </w:rPr>
      </w:pPr>
    </w:p>
    <w:p w14:paraId="587A0831" w14:textId="3F6278FB" w:rsidR="00D14F24" w:rsidRPr="002C7F14" w:rsidRDefault="0063516C" w:rsidP="006B41D1">
      <w:pPr>
        <w:pStyle w:val="a8"/>
        <w:numPr>
          <w:ilvl w:val="0"/>
          <w:numId w:val="76"/>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하나의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크로마토그램에서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 </w:t>
      </w:r>
      <w:r w:rsidRPr="002C7F14">
        <w:rPr>
          <w:rFonts w:asciiTheme="minorEastAsia" w:eastAsiaTheme="minorEastAsia" w:hAnsiTheme="minorEastAsia" w:cs="맑은 고딕" w:hint="eastAsia"/>
          <w:sz w:val="20"/>
          <w:szCs w:val="20"/>
          <w:lang w:eastAsia="ko-KR"/>
        </w:rPr>
        <w:t>피크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분해능</w:t>
      </w:r>
      <w:r w:rsidRPr="002C7F14">
        <w:rPr>
          <w:rFonts w:asciiTheme="minorEastAsia" w:eastAsiaTheme="minorEastAsia" w:hAnsiTheme="minorEastAsia" w:cs="맑은 고딕"/>
          <w:sz w:val="20"/>
          <w:szCs w:val="20"/>
          <w:lang w:eastAsia="ko-KR"/>
        </w:rPr>
        <w:t>(R)</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w:t>
      </w:r>
    </w:p>
    <w:p w14:paraId="7B5C3903" w14:textId="4892BE02" w:rsidR="00D14F24" w:rsidRPr="002C7F14" w:rsidRDefault="00D14F24" w:rsidP="00EF791F">
      <w:pPr>
        <w:spacing w:line="264" w:lineRule="auto"/>
        <w:jc w:val="both"/>
        <w:rPr>
          <w:rFonts w:asciiTheme="minorEastAsia" w:eastAsiaTheme="minorEastAsia" w:hAnsiTheme="minorEastAsia" w:cs="맑은 고딕"/>
          <w:sz w:val="20"/>
          <w:szCs w:val="20"/>
          <w:lang w:eastAsia="ko-KR"/>
        </w:rPr>
      </w:pPr>
    </w:p>
    <w:p w14:paraId="40901C15" w14:textId="40056728" w:rsidR="0063516C" w:rsidRPr="002C7F14" w:rsidRDefault="0063516C" w:rsidP="0063516C">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2A5330F1" wp14:editId="548944FF">
            <wp:extent cx="1638300" cy="60960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38300" cy="609600"/>
                    </a:xfrm>
                    <a:prstGeom prst="rect">
                      <a:avLst/>
                    </a:prstGeom>
                  </pic:spPr>
                </pic:pic>
              </a:graphicData>
            </a:graphic>
          </wp:inline>
        </w:drawing>
      </w:r>
    </w:p>
    <w:p w14:paraId="489A97C7" w14:textId="510278E7" w:rsidR="0063516C" w:rsidRPr="002C7F14" w:rsidRDefault="0063516C" w:rsidP="00EF791F">
      <w:pPr>
        <w:spacing w:line="264" w:lineRule="auto"/>
        <w:jc w:val="both"/>
        <w:rPr>
          <w:rFonts w:asciiTheme="minorEastAsia" w:eastAsiaTheme="minorEastAsia" w:hAnsiTheme="minorEastAsia" w:cs="맑은 고딕"/>
          <w:sz w:val="20"/>
          <w:szCs w:val="20"/>
          <w:lang w:eastAsia="ko-KR"/>
        </w:rPr>
      </w:pPr>
    </w:p>
    <w:p w14:paraId="2E72ECA2" w14:textId="77777777" w:rsidR="0063516C" w:rsidRPr="002C7F14" w:rsidRDefault="0063516C" w:rsidP="0063516C">
      <w:pPr>
        <w:spacing w:line="264" w:lineRule="auto"/>
        <w:ind w:leftChars="1288" w:left="28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식에서</w:t>
      </w:r>
    </w:p>
    <w:p w14:paraId="09ECC35E" w14:textId="77777777" w:rsidR="0063516C" w:rsidRPr="002C7F14" w:rsidRDefault="0063516C" w:rsidP="0063516C">
      <w:pPr>
        <w:spacing w:line="264" w:lineRule="auto"/>
        <w:ind w:leftChars="1288" w:left="28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t</w:t>
      </w:r>
      <w:r w:rsidRPr="002C7F14">
        <w:rPr>
          <w:rFonts w:asciiTheme="minorEastAsia" w:eastAsiaTheme="minorEastAsia" w:hAnsiTheme="minorEastAsia" w:cs="맑은 고딕"/>
          <w:sz w:val="20"/>
          <w:szCs w:val="20"/>
          <w:vertAlign w:val="subscript"/>
          <w:lang w:eastAsia="ko-KR"/>
        </w:rPr>
        <w:t>o</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옥시벤존의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유지시간</w:t>
      </w:r>
      <w:r w:rsidRPr="002C7F14">
        <w:rPr>
          <w:rFonts w:asciiTheme="minorEastAsia" w:eastAsiaTheme="minorEastAsia" w:hAnsiTheme="minorEastAsia" w:cs="맑은 고딕"/>
          <w:sz w:val="20"/>
          <w:szCs w:val="20"/>
          <w:lang w:eastAsia="ko-KR"/>
        </w:rPr>
        <w:t xml:space="preserve"> </w:t>
      </w:r>
    </w:p>
    <w:p w14:paraId="5B0FAFAF" w14:textId="77777777" w:rsidR="0063516C" w:rsidRPr="002C7F14" w:rsidRDefault="0063516C" w:rsidP="0063516C">
      <w:pPr>
        <w:spacing w:line="264" w:lineRule="auto"/>
        <w:ind w:leftChars="1288" w:left="28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t</w:t>
      </w:r>
      <w:r w:rsidRPr="002C7F14">
        <w:rPr>
          <w:rFonts w:asciiTheme="minorEastAsia" w:eastAsiaTheme="minorEastAsia" w:hAnsiTheme="minorEastAsia" w:cs="맑은 고딕"/>
          <w:sz w:val="20"/>
          <w:szCs w:val="20"/>
          <w:vertAlign w:val="subscript"/>
          <w:lang w:eastAsia="ko-KR"/>
        </w:rPr>
        <w:t>p</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유지시간</w:t>
      </w:r>
    </w:p>
    <w:p w14:paraId="03D3B1CE" w14:textId="757ED0E2" w:rsidR="0063516C" w:rsidRPr="002C7F14" w:rsidRDefault="0063516C" w:rsidP="0063516C">
      <w:pPr>
        <w:spacing w:line="264" w:lineRule="auto"/>
        <w:ind w:leftChars="1288" w:left="28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W</w:t>
      </w:r>
      <w:r w:rsidRPr="002C7F14">
        <w:rPr>
          <w:rFonts w:asciiTheme="minorEastAsia" w:eastAsiaTheme="minorEastAsia" w:hAnsiTheme="minorEastAsia" w:cs="맑은 고딕"/>
          <w:sz w:val="20"/>
          <w:szCs w:val="20"/>
          <w:vertAlign w:val="subscript"/>
          <w:lang w:eastAsia="ko-KR"/>
        </w:rPr>
        <w:t>o</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기준선에서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너비</w:t>
      </w:r>
    </w:p>
    <w:p w14:paraId="6B58EE85" w14:textId="77777777" w:rsidR="0063516C" w:rsidRPr="002C7F14" w:rsidRDefault="0063516C" w:rsidP="0063516C">
      <w:pPr>
        <w:spacing w:line="264" w:lineRule="auto"/>
        <w:ind w:leftChars="1288" w:left="28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W</w:t>
      </w:r>
      <w:r w:rsidRPr="002C7F14">
        <w:rPr>
          <w:rFonts w:asciiTheme="minorEastAsia" w:eastAsiaTheme="minorEastAsia" w:hAnsiTheme="minorEastAsia" w:cs="맑은 고딕"/>
          <w:sz w:val="20"/>
          <w:szCs w:val="20"/>
          <w:vertAlign w:val="subscript"/>
          <w:lang w:eastAsia="ko-KR"/>
        </w:rPr>
        <w:t>p</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기준선에서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너비</w:t>
      </w:r>
    </w:p>
    <w:p w14:paraId="4DC3577B"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59FFEA91" w14:textId="1D206338" w:rsidR="0063516C" w:rsidRPr="002C7F14" w:rsidRDefault="0063516C" w:rsidP="0063516C">
      <w:pPr>
        <w:spacing w:line="264" w:lineRule="auto"/>
        <w:ind w:leftChars="1288" w:left="28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분해능</w:t>
      </w:r>
      <w:r w:rsidRPr="002C7F14">
        <w:rPr>
          <w:rFonts w:asciiTheme="minorEastAsia" w:eastAsiaTheme="minorEastAsia" w:hAnsiTheme="minorEastAsia" w:cs="맑은 고딕"/>
          <w:sz w:val="20"/>
          <w:szCs w:val="20"/>
          <w:lang w:eastAsia="ko-KR"/>
        </w:rPr>
        <w:t>(R)</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3</w:t>
      </w:r>
      <w:r w:rsidRPr="002C7F14">
        <w:rPr>
          <w:rFonts w:asciiTheme="minorEastAsia" w:eastAsiaTheme="minorEastAsia" w:hAnsiTheme="minorEastAsia" w:cs="맑은 고딕" w:hint="eastAsia"/>
          <w:sz w:val="20"/>
          <w:szCs w:val="20"/>
          <w:lang w:eastAsia="ko-KR"/>
        </w:rPr>
        <w:t>미만이면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이동상을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조정하거나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컬럼을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교체한다</w:t>
      </w:r>
      <w:r w:rsidRPr="002C7F14">
        <w:rPr>
          <w:rFonts w:asciiTheme="minorEastAsia" w:eastAsiaTheme="minorEastAsia" w:hAnsiTheme="minorEastAsia" w:cs="맑은 고딕"/>
          <w:sz w:val="20"/>
          <w:szCs w:val="20"/>
          <w:lang w:eastAsia="ko-KR"/>
        </w:rPr>
        <w:t>.</w:t>
      </w:r>
    </w:p>
    <w:p w14:paraId="49D69132"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478D00CF" w14:textId="77777777" w:rsidR="0063516C" w:rsidRPr="002C7F14" w:rsidRDefault="0063516C" w:rsidP="006B41D1">
      <w:pPr>
        <w:pStyle w:val="a8"/>
        <w:numPr>
          <w:ilvl w:val="0"/>
          <w:numId w:val="73"/>
        </w:numPr>
        <w:spacing w:line="264" w:lineRule="auto"/>
        <w:ind w:leftChars="0" w:left="113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분석</w:t>
      </w:r>
    </w:p>
    <w:p w14:paraId="0764D048"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41970DC8" w14:textId="2613DF70" w:rsidR="0063516C" w:rsidRPr="002C7F14" w:rsidRDefault="0063516C" w:rsidP="006B41D1">
      <w:pPr>
        <w:pStyle w:val="a8"/>
        <w:numPr>
          <w:ilvl w:val="0"/>
          <w:numId w:val="77"/>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표</w:t>
      </w:r>
      <w:r w:rsidR="006B41D1" w:rsidRPr="002C7F14">
        <w:rPr>
          <w:rFonts w:asciiTheme="minorEastAsia" w:eastAsiaTheme="minorEastAsia" w:hAnsiTheme="minorEastAsia" w:cs="맑은 고딕" w:hint="eastAsia"/>
          <w:sz w:val="20"/>
          <w:szCs w:val="20"/>
          <w:lang w:eastAsia="ko-KR"/>
        </w:rPr>
        <w:t>ㅊ</w:t>
      </w:r>
      <w:r w:rsidRPr="002C7F14">
        <w:rPr>
          <w:rFonts w:asciiTheme="minorEastAsia" w:eastAsiaTheme="minorEastAsia" w:hAnsiTheme="minorEastAsia" w:cs="맑은 고딕" w:hint="eastAsia"/>
          <w:sz w:val="20"/>
          <w:szCs w:val="20"/>
          <w:lang w:eastAsia="ko-KR"/>
        </w:rPr>
        <w:t>준시표는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HPLC </w:t>
      </w:r>
      <w:r w:rsidRPr="002C7F14">
        <w:rPr>
          <w:rFonts w:asciiTheme="minorEastAsia" w:eastAsiaTheme="minorEastAsia" w:hAnsiTheme="minorEastAsia" w:cs="맑은 고딕" w:hint="eastAsia"/>
          <w:sz w:val="20"/>
          <w:szCs w:val="20"/>
          <w:lang w:eastAsia="ko-KR"/>
        </w:rPr>
        <w:t>표준시료와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동일한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농도로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희석한다</w:t>
      </w:r>
      <w:r w:rsidRPr="002C7F14">
        <w:rPr>
          <w:rFonts w:asciiTheme="minorEastAsia" w:eastAsiaTheme="minorEastAsia" w:hAnsiTheme="minorEastAsia" w:cs="맑은 고딕"/>
          <w:sz w:val="20"/>
          <w:szCs w:val="20"/>
          <w:lang w:eastAsia="ko-KR"/>
        </w:rPr>
        <w:t>.</w:t>
      </w:r>
    </w:p>
    <w:p w14:paraId="5AF89143" w14:textId="77777777" w:rsidR="0063516C" w:rsidRPr="002C7F14" w:rsidRDefault="0063516C" w:rsidP="0063516C">
      <w:pPr>
        <w:spacing w:line="264" w:lineRule="auto"/>
        <w:jc w:val="both"/>
        <w:rPr>
          <w:rFonts w:asciiTheme="minorEastAsia" w:eastAsiaTheme="minorEastAsia" w:hAnsiTheme="minorEastAsia" w:cs="맑은 고딕"/>
          <w:sz w:val="20"/>
          <w:szCs w:val="20"/>
          <w:lang w:eastAsia="ko-KR"/>
        </w:rPr>
      </w:pPr>
    </w:p>
    <w:p w14:paraId="0CE9AEDB" w14:textId="77777777" w:rsidR="0063516C" w:rsidRPr="002C7F14" w:rsidRDefault="0063516C" w:rsidP="006B41D1">
      <w:pPr>
        <w:pStyle w:val="a8"/>
        <w:numPr>
          <w:ilvl w:val="0"/>
          <w:numId w:val="78"/>
        </w:numPr>
        <w:tabs>
          <w:tab w:val="left" w:pos="1985"/>
        </w:tabs>
        <w:spacing w:line="264" w:lineRule="auto"/>
        <w:ind w:leftChars="0" w:left="156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1</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M020.80(c)(1)</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1g</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50mL </w:t>
      </w:r>
      <w:r w:rsidRPr="002C7F14">
        <w:rPr>
          <w:rFonts w:asciiTheme="minorEastAsia" w:eastAsiaTheme="minorEastAsia" w:hAnsiTheme="minorEastAsia" w:cs="맑은 고딕" w:hint="eastAsia"/>
          <w:sz w:val="20"/>
          <w:szCs w:val="20"/>
          <w:lang w:eastAsia="ko-KR"/>
        </w:rPr>
        <w:t>용량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플라스크에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넣는다</w:t>
      </w:r>
      <w:r w:rsidRPr="002C7F14">
        <w:rPr>
          <w:rFonts w:asciiTheme="minorEastAsia" w:eastAsiaTheme="minorEastAsia" w:hAnsiTheme="minorEastAsia" w:cs="맑은 고딕"/>
          <w:sz w:val="20"/>
          <w:szCs w:val="20"/>
          <w:lang w:eastAsia="ko-KR"/>
        </w:rPr>
        <w:t>.</w:t>
      </w:r>
    </w:p>
    <w:p w14:paraId="7BE5B02B" w14:textId="77777777" w:rsidR="0063516C" w:rsidRPr="002C7F14" w:rsidRDefault="0063516C" w:rsidP="006B41D1">
      <w:pPr>
        <w:tabs>
          <w:tab w:val="left" w:pos="1985"/>
        </w:tabs>
        <w:spacing w:line="264" w:lineRule="auto"/>
        <w:ind w:left="1560"/>
        <w:jc w:val="both"/>
        <w:rPr>
          <w:rFonts w:asciiTheme="minorEastAsia" w:eastAsiaTheme="minorEastAsia" w:hAnsiTheme="minorEastAsia" w:cs="맑은 고딕"/>
          <w:sz w:val="20"/>
          <w:szCs w:val="20"/>
          <w:lang w:eastAsia="ko-KR"/>
        </w:rPr>
      </w:pPr>
    </w:p>
    <w:p w14:paraId="35A44CB2" w14:textId="77777777" w:rsidR="0063516C" w:rsidRPr="002C7F14" w:rsidRDefault="0063516C" w:rsidP="006B41D1">
      <w:pPr>
        <w:pStyle w:val="a8"/>
        <w:numPr>
          <w:ilvl w:val="0"/>
          <w:numId w:val="78"/>
        </w:numPr>
        <w:tabs>
          <w:tab w:val="left" w:pos="1985"/>
        </w:tabs>
        <w:spacing w:line="264" w:lineRule="auto"/>
        <w:ind w:leftChars="0" w:left="156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2</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이소프로판올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약</w:t>
      </w:r>
      <w:r w:rsidRPr="002C7F14">
        <w:rPr>
          <w:rFonts w:asciiTheme="minorEastAsia" w:eastAsiaTheme="minorEastAsia" w:hAnsiTheme="minorEastAsia" w:cs="맑은 고딕"/>
          <w:sz w:val="20"/>
          <w:szCs w:val="20"/>
          <w:lang w:eastAsia="ko-KR"/>
        </w:rPr>
        <w:t xml:space="preserve"> 30mL</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내용물이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고르게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분산될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휘저으며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가열한다</w:t>
      </w:r>
      <w:r w:rsidRPr="002C7F14">
        <w:rPr>
          <w:rFonts w:asciiTheme="minorEastAsia" w:eastAsiaTheme="minorEastAsia" w:hAnsiTheme="minorEastAsia" w:cs="맑은 고딕"/>
          <w:sz w:val="20"/>
          <w:szCs w:val="20"/>
          <w:lang w:eastAsia="ko-KR"/>
        </w:rPr>
        <w:t>.</w:t>
      </w:r>
    </w:p>
    <w:p w14:paraId="7B1F11DE" w14:textId="77777777" w:rsidR="0063516C" w:rsidRPr="002C7F14" w:rsidRDefault="0063516C" w:rsidP="006B41D1">
      <w:pPr>
        <w:tabs>
          <w:tab w:val="left" w:pos="1985"/>
        </w:tabs>
        <w:spacing w:line="264" w:lineRule="auto"/>
        <w:ind w:left="1560"/>
        <w:jc w:val="both"/>
        <w:rPr>
          <w:rFonts w:asciiTheme="minorEastAsia" w:eastAsiaTheme="minorEastAsia" w:hAnsiTheme="minorEastAsia" w:cs="맑은 고딕"/>
          <w:sz w:val="20"/>
          <w:szCs w:val="20"/>
          <w:lang w:eastAsia="ko-KR"/>
        </w:rPr>
      </w:pPr>
    </w:p>
    <w:p w14:paraId="71FD5D3E" w14:textId="77777777" w:rsidR="0063516C" w:rsidRPr="002C7F14" w:rsidRDefault="0063516C" w:rsidP="006B41D1">
      <w:pPr>
        <w:pStyle w:val="a8"/>
        <w:numPr>
          <w:ilvl w:val="0"/>
          <w:numId w:val="78"/>
        </w:numPr>
        <w:tabs>
          <w:tab w:val="left" w:pos="1985"/>
        </w:tabs>
        <w:spacing w:line="264" w:lineRule="auto"/>
        <w:ind w:leftChars="0" w:left="156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3</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실온</w:t>
      </w:r>
      <w:r w:rsidRPr="002C7F14">
        <w:rPr>
          <w:rFonts w:asciiTheme="minorEastAsia" w:eastAsiaTheme="minorEastAsia" w:hAnsiTheme="minorEastAsia" w:cs="맑은 고딕"/>
          <w:sz w:val="20"/>
          <w:szCs w:val="20"/>
          <w:lang w:eastAsia="ko-KR"/>
        </w:rPr>
        <w:t>(15~30</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이소프로판올로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부피에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맞게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1FEF0D6F" w14:textId="77777777" w:rsidR="0063516C" w:rsidRPr="002C7F14" w:rsidRDefault="0063516C" w:rsidP="006B41D1">
      <w:pPr>
        <w:tabs>
          <w:tab w:val="left" w:pos="1985"/>
        </w:tabs>
        <w:spacing w:line="264" w:lineRule="auto"/>
        <w:ind w:left="1560"/>
        <w:jc w:val="both"/>
        <w:rPr>
          <w:rFonts w:asciiTheme="minorEastAsia" w:eastAsiaTheme="minorEastAsia" w:hAnsiTheme="minorEastAsia" w:cs="맑은 고딕"/>
          <w:sz w:val="20"/>
          <w:szCs w:val="20"/>
          <w:lang w:eastAsia="ko-KR"/>
        </w:rPr>
      </w:pPr>
    </w:p>
    <w:p w14:paraId="66E5251C" w14:textId="30E3232F" w:rsidR="0063516C" w:rsidRPr="002C7F14" w:rsidRDefault="0063516C" w:rsidP="006B41D1">
      <w:pPr>
        <w:pStyle w:val="a8"/>
        <w:numPr>
          <w:ilvl w:val="0"/>
          <w:numId w:val="78"/>
        </w:numPr>
        <w:tabs>
          <w:tab w:val="left" w:pos="1985"/>
        </w:tabs>
        <w:spacing w:line="264" w:lineRule="auto"/>
        <w:ind w:leftChars="0" w:left="156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4</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용액</w:t>
      </w:r>
      <w:r w:rsidRPr="002C7F14">
        <w:rPr>
          <w:rFonts w:asciiTheme="minorEastAsia" w:eastAsiaTheme="minorEastAsia" w:hAnsiTheme="minorEastAsia" w:cs="맑은 고딕"/>
          <w:sz w:val="20"/>
          <w:szCs w:val="20"/>
          <w:lang w:eastAsia="ko-KR"/>
        </w:rPr>
        <w:t xml:space="preserve"> 5.0mL</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피펫으로</w:t>
      </w:r>
      <w:r w:rsidRPr="002C7F14">
        <w:rPr>
          <w:rFonts w:asciiTheme="minorEastAsia" w:eastAsiaTheme="minorEastAsia" w:hAnsiTheme="minorEastAsia" w:cs="맑은 고딕"/>
          <w:sz w:val="20"/>
          <w:szCs w:val="20"/>
          <w:lang w:eastAsia="ko-KR"/>
        </w:rPr>
        <w:t xml:space="preserve"> 50mL </w:t>
      </w:r>
      <w:r w:rsidRPr="002C7F14">
        <w:rPr>
          <w:rFonts w:asciiTheme="minorEastAsia" w:eastAsiaTheme="minorEastAsia" w:hAnsiTheme="minorEastAsia" w:cs="맑은 고딕" w:hint="eastAsia"/>
          <w:sz w:val="20"/>
          <w:szCs w:val="20"/>
          <w:lang w:eastAsia="ko-KR"/>
        </w:rPr>
        <w:t>용량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플라스크에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넣고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이소프로판올로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부피에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맞게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섞는다</w:t>
      </w:r>
      <w:r w:rsidRPr="002C7F14">
        <w:rPr>
          <w:rFonts w:asciiTheme="minorEastAsia" w:eastAsiaTheme="minorEastAsia" w:hAnsiTheme="minorEastAsia" w:cs="맑은 고딕"/>
          <w:sz w:val="20"/>
          <w:szCs w:val="20"/>
          <w:lang w:eastAsia="ko-KR"/>
        </w:rPr>
        <w:t>.</w:t>
      </w:r>
    </w:p>
    <w:p w14:paraId="3502BDFD" w14:textId="453F53B9" w:rsidR="0063516C" w:rsidRPr="002C7F14" w:rsidRDefault="0063516C" w:rsidP="00EF791F">
      <w:pPr>
        <w:spacing w:line="264" w:lineRule="auto"/>
        <w:jc w:val="both"/>
        <w:rPr>
          <w:rFonts w:asciiTheme="minorEastAsia" w:eastAsiaTheme="minorEastAsia" w:hAnsiTheme="minorEastAsia" w:cs="맑은 고딕"/>
          <w:sz w:val="20"/>
          <w:szCs w:val="20"/>
          <w:lang w:eastAsia="ko-KR"/>
        </w:rPr>
      </w:pPr>
    </w:p>
    <w:p w14:paraId="297BBE9E" w14:textId="64CAB4B2" w:rsidR="0063516C" w:rsidRPr="002C7F14" w:rsidRDefault="006B41D1" w:rsidP="006B41D1">
      <w:pPr>
        <w:pStyle w:val="a8"/>
        <w:numPr>
          <w:ilvl w:val="0"/>
          <w:numId w:val="77"/>
        </w:numPr>
        <w:spacing w:line="264" w:lineRule="auto"/>
        <w:ind w:leftChars="0" w:left="1134"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(1)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M020.80(c)(2)(iv)(A)</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희석된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10 </w:t>
      </w:r>
      <w:r w:rsidRPr="002C7F14">
        <w:rPr>
          <w:rFonts w:asciiTheme="minorEastAsia" w:eastAsiaTheme="minorEastAsia" w:hAnsiTheme="minorEastAsia" w:cs="맑은 고딕" w:hint="eastAsia"/>
          <w:sz w:val="20"/>
          <w:szCs w:val="20"/>
          <w:lang w:eastAsia="ko-KR"/>
        </w:rPr>
        <w:t>마이크로리터를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주입하고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양을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w:t>
      </w:r>
    </w:p>
    <w:p w14:paraId="120FB7A1" w14:textId="46B3076D" w:rsidR="0063516C" w:rsidRPr="002C7F14" w:rsidRDefault="006B41D1" w:rsidP="006B41D1">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mc:AlternateContent>
          <mc:Choice Requires="wps">
            <w:drawing>
              <wp:anchor distT="0" distB="0" distL="114300" distR="114300" simplePos="0" relativeHeight="251651584" behindDoc="0" locked="0" layoutInCell="1" allowOverlap="1" wp14:anchorId="5BC341D0" wp14:editId="24E81208">
                <wp:simplePos x="0" y="0"/>
                <wp:positionH relativeFrom="column">
                  <wp:posOffset>1981200</wp:posOffset>
                </wp:positionH>
                <wp:positionV relativeFrom="paragraph">
                  <wp:posOffset>334010</wp:posOffset>
                </wp:positionV>
                <wp:extent cx="3467100" cy="2381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3467100" cy="238125"/>
                        </a:xfrm>
                        <a:prstGeom prst="rect">
                          <a:avLst/>
                        </a:prstGeom>
                        <a:solidFill>
                          <a:schemeClr val="lt1"/>
                        </a:solidFill>
                        <a:ln w="6350">
                          <a:noFill/>
                        </a:ln>
                      </wps:spPr>
                      <wps:txbx>
                        <w:txbxContent>
                          <w:p w14:paraId="4E384D73" w14:textId="7C31D88F" w:rsidR="00547BAE" w:rsidRPr="006B41D1" w:rsidRDefault="00547BAE" w:rsidP="006B41D1">
                            <w:pPr>
                              <w:jc w:val="center"/>
                              <w:rPr>
                                <w:rFonts w:asciiTheme="minorEastAsia" w:eastAsiaTheme="minorEastAsia" w:hAnsiTheme="minorEastAsia"/>
                                <w:sz w:val="18"/>
                                <w:lang w:eastAsia="ko-KR"/>
                              </w:rPr>
                            </w:pPr>
                            <w:r w:rsidRPr="006B41D1">
                              <w:rPr>
                                <w:rFonts w:asciiTheme="minorEastAsia" w:eastAsiaTheme="minorEastAsia" w:hAnsiTheme="minorEastAsia"/>
                                <w:sz w:val="20"/>
                                <w:lang w:eastAsia="ko-KR"/>
                              </w:rPr>
                              <w:t xml:space="preserve">HPLC </w:t>
                            </w:r>
                            <w:r w:rsidRPr="006B41D1">
                              <w:rPr>
                                <w:rFonts w:asciiTheme="minorEastAsia" w:eastAsiaTheme="minorEastAsia" w:hAnsiTheme="minorEastAsia" w:hint="eastAsia"/>
                                <w:sz w:val="20"/>
                                <w:lang w:eastAsia="ko-KR"/>
                              </w:rPr>
                              <w:t>표준시료에서</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옥시벤존의</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피크</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면적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C341D0" id="_x0000_t202" coordsize="21600,21600" o:spt="202" path="m,l,21600r21600,l21600,xe">
                <v:stroke joinstyle="miter"/>
                <v:path gradientshapeok="t" o:connecttype="rect"/>
              </v:shapetype>
              <v:shape id="Text Box 13" o:spid="_x0000_s1026" type="#_x0000_t202" style="position:absolute;left:0;text-align:left;margin-left:156pt;margin-top:26.3pt;width:273pt;height:18.7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" fillcolor="white [3201]" stroked="f" strokeweight=".5pt">
                <v:textbox inset="0,0,0,0">
                  <w:txbxContent>
                    <w:p w14:paraId="4E384D73" w14:textId="7C31D88F" w:rsidR="00547BAE" w:rsidRPr="006B41D1" w:rsidRDefault="00547BAE" w:rsidP="006B41D1">
                      <w:pPr>
                        <w:jc w:val="center"/>
                        <w:rPr>
                          <w:rFonts w:asciiTheme="minorEastAsia" w:eastAsiaTheme="minorEastAsia" w:hAnsiTheme="minorEastAsia"/>
                          <w:sz w:val="18"/>
                          <w:lang w:eastAsia="ko-KR"/>
                        </w:rPr>
                      </w:pPr>
                      <w:r w:rsidRPr="006B41D1">
                        <w:rPr>
                          <w:rFonts w:asciiTheme="minorEastAsia" w:eastAsiaTheme="minorEastAsia" w:hAnsiTheme="minorEastAsia"/>
                          <w:sz w:val="20"/>
                          <w:lang w:eastAsia="ko-KR"/>
                        </w:rPr>
                        <w:t xml:space="preserve">HPLC </w:t>
                      </w:r>
                      <w:r w:rsidRPr="006B41D1">
                        <w:rPr>
                          <w:rFonts w:asciiTheme="minorEastAsia" w:eastAsiaTheme="minorEastAsia" w:hAnsiTheme="minorEastAsia" w:hint="eastAsia"/>
                          <w:sz w:val="20"/>
                          <w:lang w:eastAsia="ko-KR"/>
                        </w:rPr>
                        <w:t>표준시료에서</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옥시벤존의</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피크</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면적</w:t>
                      </w:r>
                    </w:p>
                  </w:txbxContent>
                </v:textbox>
              </v:shape>
            </w:pict>
          </mc:Fallback>
        </mc:AlternateContent>
      </w:r>
      <w:r w:rsidRPr="002C7F14">
        <w:rPr>
          <w:rFonts w:asciiTheme="minorEastAsia" w:eastAsiaTheme="minorEastAsia" w:hAnsiTheme="minorEastAsia"/>
          <w:noProof/>
          <w:sz w:val="20"/>
          <w:lang w:eastAsia="ko-KR"/>
        </w:rPr>
        <mc:AlternateContent>
          <mc:Choice Requires="wps">
            <w:drawing>
              <wp:anchor distT="0" distB="0" distL="114300" distR="114300" simplePos="0" relativeHeight="251652608" behindDoc="0" locked="0" layoutInCell="1" allowOverlap="1" wp14:anchorId="618156AB" wp14:editId="5279B3FC">
                <wp:simplePos x="0" y="0"/>
                <wp:positionH relativeFrom="column">
                  <wp:posOffset>1971675</wp:posOffset>
                </wp:positionH>
                <wp:positionV relativeFrom="paragraph">
                  <wp:posOffset>895985</wp:posOffset>
                </wp:positionV>
                <wp:extent cx="3400425" cy="23812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3400425" cy="238125"/>
                        </a:xfrm>
                        <a:prstGeom prst="rect">
                          <a:avLst/>
                        </a:prstGeom>
                        <a:solidFill>
                          <a:schemeClr val="lt1"/>
                        </a:solidFill>
                        <a:ln w="6350">
                          <a:noFill/>
                        </a:ln>
                      </wps:spPr>
                      <wps:txbx>
                        <w:txbxContent>
                          <w:p w14:paraId="52C24AF2" w14:textId="1827BDA7" w:rsidR="00547BAE" w:rsidRPr="006B41D1" w:rsidRDefault="00547BAE" w:rsidP="006B41D1">
                            <w:pPr>
                              <w:jc w:val="center"/>
                              <w:rPr>
                                <w:rFonts w:asciiTheme="minorEastAsia" w:eastAsiaTheme="minorEastAsia" w:hAnsiTheme="minorEastAsia"/>
                                <w:sz w:val="20"/>
                                <w:lang w:eastAsia="ko-KR"/>
                              </w:rPr>
                            </w:pPr>
                            <w:r w:rsidRPr="006B41D1">
                              <w:rPr>
                                <w:rFonts w:asciiTheme="minorEastAsia" w:eastAsiaTheme="minorEastAsia" w:hAnsiTheme="minorEastAsia"/>
                                <w:sz w:val="20"/>
                                <w:lang w:eastAsia="ko-KR"/>
                              </w:rPr>
                              <w:t xml:space="preserve">HPLC </w:t>
                            </w:r>
                            <w:r w:rsidRPr="006B41D1">
                              <w:rPr>
                                <w:rFonts w:asciiTheme="minorEastAsia" w:eastAsiaTheme="minorEastAsia" w:hAnsiTheme="minorEastAsia" w:hint="eastAsia"/>
                                <w:sz w:val="20"/>
                                <w:lang w:eastAsia="ko-KR"/>
                              </w:rPr>
                              <w:t>표준시료에서</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파디메이트</w:t>
                            </w:r>
                            <w:r w:rsidRPr="006B41D1">
                              <w:rPr>
                                <w:rFonts w:asciiTheme="minorEastAsia" w:eastAsiaTheme="minorEastAsia" w:hAnsiTheme="minorEastAsia"/>
                                <w:sz w:val="20"/>
                                <w:lang w:eastAsia="ko-KR"/>
                              </w:rPr>
                              <w:t xml:space="preserve"> O</w:t>
                            </w:r>
                            <w:r w:rsidRPr="006B41D1">
                              <w:rPr>
                                <w:rFonts w:asciiTheme="minorEastAsia" w:eastAsiaTheme="minorEastAsia" w:hAnsiTheme="minorEastAsia" w:hint="eastAsia"/>
                                <w:sz w:val="20"/>
                                <w:lang w:eastAsia="ko-KR"/>
                              </w:rPr>
                              <w:t>의</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피크</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면적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8156AB" id="Text Box 14" o:spid="_x0000_s1027" type="#_x0000_t202" style="position:absolute;left:0;text-align:left;margin-left:155.25pt;margin-top:70.55pt;width:267.75pt;height:18.7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" fillcolor="white [3201]" stroked="f" strokeweight=".5pt">
                <v:textbox inset="0,0,0,0">
                  <w:txbxContent>
                    <w:p w14:paraId="52C24AF2" w14:textId="1827BDA7" w:rsidR="00547BAE" w:rsidRPr="006B41D1" w:rsidRDefault="00547BAE" w:rsidP="006B41D1">
                      <w:pPr>
                        <w:jc w:val="center"/>
                        <w:rPr>
                          <w:rFonts w:asciiTheme="minorEastAsia" w:eastAsiaTheme="minorEastAsia" w:hAnsiTheme="minorEastAsia"/>
                          <w:sz w:val="20"/>
                          <w:lang w:eastAsia="ko-KR"/>
                        </w:rPr>
                      </w:pPr>
                      <w:r w:rsidRPr="006B41D1">
                        <w:rPr>
                          <w:rFonts w:asciiTheme="minorEastAsia" w:eastAsiaTheme="minorEastAsia" w:hAnsiTheme="minorEastAsia"/>
                          <w:sz w:val="20"/>
                          <w:lang w:eastAsia="ko-KR"/>
                        </w:rPr>
                        <w:t xml:space="preserve">HPLC </w:t>
                      </w:r>
                      <w:r w:rsidRPr="006B41D1">
                        <w:rPr>
                          <w:rFonts w:asciiTheme="minorEastAsia" w:eastAsiaTheme="minorEastAsia" w:hAnsiTheme="minorEastAsia" w:hint="eastAsia"/>
                          <w:sz w:val="20"/>
                          <w:lang w:eastAsia="ko-KR"/>
                        </w:rPr>
                        <w:t>표준시료에서</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파디메이트</w:t>
                      </w:r>
                      <w:r w:rsidRPr="006B41D1">
                        <w:rPr>
                          <w:rFonts w:asciiTheme="minorEastAsia" w:eastAsiaTheme="minorEastAsia" w:hAnsiTheme="minorEastAsia"/>
                          <w:sz w:val="20"/>
                          <w:lang w:eastAsia="ko-KR"/>
                        </w:rPr>
                        <w:t xml:space="preserve"> O</w:t>
                      </w:r>
                      <w:r w:rsidRPr="006B41D1">
                        <w:rPr>
                          <w:rFonts w:asciiTheme="minorEastAsia" w:eastAsiaTheme="minorEastAsia" w:hAnsiTheme="minorEastAsia" w:hint="eastAsia"/>
                          <w:sz w:val="20"/>
                          <w:lang w:eastAsia="ko-KR"/>
                        </w:rPr>
                        <w:t>의</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피크</w:t>
                      </w:r>
                      <w:r w:rsidRPr="006B41D1">
                        <w:rPr>
                          <w:rFonts w:asciiTheme="minorEastAsia" w:eastAsiaTheme="minorEastAsia" w:hAnsiTheme="minorEastAsia"/>
                          <w:sz w:val="20"/>
                          <w:lang w:eastAsia="ko-KR"/>
                        </w:rPr>
                        <w:t xml:space="preserve"> </w:t>
                      </w:r>
                      <w:r w:rsidRPr="006B41D1">
                        <w:rPr>
                          <w:rFonts w:asciiTheme="minorEastAsia" w:eastAsiaTheme="minorEastAsia" w:hAnsiTheme="minorEastAsia" w:hint="eastAsia"/>
                          <w:sz w:val="20"/>
                          <w:lang w:eastAsia="ko-KR"/>
                        </w:rPr>
                        <w:t>면적</w:t>
                      </w:r>
                    </w:p>
                  </w:txbxContent>
                </v:textbox>
              </v:shape>
            </w:pict>
          </mc:Fallback>
        </mc:AlternateContent>
      </w:r>
      <w:r w:rsidRPr="002C7F14">
        <w:rPr>
          <w:rFonts w:asciiTheme="minorEastAsia" w:eastAsiaTheme="minorEastAsia" w:hAnsiTheme="minorEastAsia"/>
          <w:noProof/>
          <w:sz w:val="20"/>
          <w:lang w:eastAsia="ko-KR"/>
        </w:rPr>
        <mc:AlternateContent>
          <mc:Choice Requires="wps">
            <w:drawing>
              <wp:anchor distT="0" distB="0" distL="114300" distR="114300" simplePos="0" relativeHeight="251654656" behindDoc="0" locked="0" layoutInCell="1" allowOverlap="1" wp14:anchorId="56FDCFD0" wp14:editId="78C74EEC">
                <wp:simplePos x="0" y="0"/>
                <wp:positionH relativeFrom="column">
                  <wp:posOffset>409575</wp:posOffset>
                </wp:positionH>
                <wp:positionV relativeFrom="paragraph">
                  <wp:posOffset>743585</wp:posOffset>
                </wp:positionV>
                <wp:extent cx="1381125" cy="238125"/>
                <wp:effectExtent l="0" t="0" r="9525" b="9525"/>
                <wp:wrapNone/>
                <wp:docPr id="16" name="Text Box 16"/>
                <wp:cNvGraphicFramePr/>
                <a:graphic xmlns:a="http://schemas.openxmlformats.org/drawingml/2006/main">
                  <a:graphicData uri="http://schemas.microsoft.com/office/word/2010/wordprocessingShape">
                    <wps:wsp>
                      <wps:cNvSpPr txBox="1"/>
                      <wps:spPr>
                        <a:xfrm>
                          <a:off x="0" y="0"/>
                          <a:ext cx="1381125" cy="238125"/>
                        </a:xfrm>
                        <a:prstGeom prst="rect">
                          <a:avLst/>
                        </a:prstGeom>
                        <a:solidFill>
                          <a:schemeClr val="lt1"/>
                        </a:solidFill>
                        <a:ln w="6350">
                          <a:noFill/>
                        </a:ln>
                      </wps:spPr>
                      <wps:txbx>
                        <w:txbxContent>
                          <w:p w14:paraId="3D0DFF44" w14:textId="4535A2FB" w:rsidR="00547BAE" w:rsidRPr="006B41D1" w:rsidRDefault="00547BAE" w:rsidP="006B41D1">
                            <w:pPr>
                              <w:jc w:val="right"/>
                              <w:rPr>
                                <w:rFonts w:asciiTheme="minorEastAsia" w:eastAsiaTheme="minorEastAsia" w:hAnsiTheme="minorEastAsia"/>
                                <w:sz w:val="20"/>
                                <w:lang w:eastAsia="ko-KR"/>
                              </w:rPr>
                            </w:pPr>
                            <w:r>
                              <w:rPr>
                                <w:rFonts w:asciiTheme="minorEastAsia" w:eastAsiaTheme="minorEastAsia" w:hAnsiTheme="minorEastAsia" w:hint="eastAsia"/>
                                <w:sz w:val="20"/>
                                <w:lang w:eastAsia="ko-KR"/>
                              </w:rPr>
                              <w:t xml:space="preserve">파디메이트 </w:t>
                            </w:r>
                            <w:r>
                              <w:rPr>
                                <w:rFonts w:asciiTheme="minorEastAsia" w:eastAsiaTheme="minorEastAsia" w:hAnsiTheme="minorEastAsia"/>
                                <w:sz w:val="20"/>
                                <w:lang w:eastAsia="ko-KR"/>
                              </w:rPr>
                              <w:t xml:space="preserve">O </w:t>
                            </w:r>
                            <w:r>
                              <w:rPr>
                                <w:rFonts w:asciiTheme="minorEastAsia" w:eastAsiaTheme="minorEastAsia" w:hAnsiTheme="minorEastAsia" w:hint="eastAsia"/>
                                <w:sz w:val="20"/>
                                <w:lang w:eastAsia="ko-KR"/>
                              </w:rPr>
                              <w:t>비율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6FDCFD0" id="Text Box 16" o:spid="_x0000_s1028" type="#_x0000_t202" style="position:absolute;left:0;text-align:left;margin-left:32.25pt;margin-top:58.55pt;width:108.75pt;height:18.7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" fillcolor="white [3201]" stroked="f" strokeweight=".5pt">
                <v:textbox inset="0,0,0,0">
                  <w:txbxContent>
                    <w:p w14:paraId="3D0DFF44" w14:textId="4535A2FB" w:rsidR="00547BAE" w:rsidRPr="006B41D1" w:rsidRDefault="00547BAE" w:rsidP="006B41D1">
                      <w:pPr>
                        <w:jc w:val="right"/>
                        <w:rPr>
                          <w:rFonts w:asciiTheme="minorEastAsia" w:eastAsiaTheme="minorEastAsia" w:hAnsiTheme="minorEastAsia"/>
                          <w:sz w:val="20"/>
                          <w:lang w:eastAsia="ko-KR"/>
                        </w:rPr>
                      </w:pPr>
                      <w:r>
                        <w:rPr>
                          <w:rFonts w:asciiTheme="minorEastAsia" w:eastAsiaTheme="minorEastAsia" w:hAnsiTheme="minorEastAsia" w:hint="eastAsia"/>
                          <w:sz w:val="20"/>
                          <w:lang w:eastAsia="ko-KR"/>
                        </w:rPr>
                        <w:t xml:space="preserve">파디메이트 </w:t>
                      </w:r>
                      <w:r>
                        <w:rPr>
                          <w:rFonts w:asciiTheme="minorEastAsia" w:eastAsiaTheme="minorEastAsia" w:hAnsiTheme="minorEastAsia"/>
                          <w:sz w:val="20"/>
                          <w:lang w:eastAsia="ko-KR"/>
                        </w:rPr>
                        <w:t xml:space="preserve">O </w:t>
                      </w:r>
                      <w:r>
                        <w:rPr>
                          <w:rFonts w:asciiTheme="minorEastAsia" w:eastAsiaTheme="minorEastAsia" w:hAnsiTheme="minorEastAsia" w:hint="eastAsia"/>
                          <w:sz w:val="20"/>
                          <w:lang w:eastAsia="ko-KR"/>
                        </w:rPr>
                        <w:t>비율</w:t>
                      </w:r>
                    </w:p>
                  </w:txbxContent>
                </v:textbox>
              </v:shape>
            </w:pict>
          </mc:Fallback>
        </mc:AlternateContent>
      </w:r>
      <w:r w:rsidRPr="002C7F14">
        <w:rPr>
          <w:rFonts w:asciiTheme="minorEastAsia" w:eastAsiaTheme="minorEastAsia" w:hAnsiTheme="minorEastAsia"/>
          <w:noProof/>
          <w:sz w:val="20"/>
          <w:lang w:eastAsia="ko-KR"/>
        </w:rPr>
        <mc:AlternateContent>
          <mc:Choice Requires="wps">
            <w:drawing>
              <wp:anchor distT="0" distB="0" distL="114300" distR="114300" simplePos="0" relativeHeight="251653632" behindDoc="0" locked="0" layoutInCell="1" allowOverlap="1" wp14:anchorId="6EE8D2FA" wp14:editId="5D30B26B">
                <wp:simplePos x="0" y="0"/>
                <wp:positionH relativeFrom="column">
                  <wp:posOffset>2019300</wp:posOffset>
                </wp:positionH>
                <wp:positionV relativeFrom="paragraph">
                  <wp:posOffset>600710</wp:posOffset>
                </wp:positionV>
                <wp:extent cx="3333750" cy="23812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3333750" cy="238125"/>
                        </a:xfrm>
                        <a:prstGeom prst="rect">
                          <a:avLst/>
                        </a:prstGeom>
                        <a:solidFill>
                          <a:schemeClr val="lt1"/>
                        </a:solidFill>
                        <a:ln w="6350">
                          <a:noFill/>
                        </a:ln>
                      </wps:spPr>
                      <wps:txbx>
                        <w:txbxContent>
                          <w:p w14:paraId="1C038E9E" w14:textId="40D89EE0" w:rsidR="00547BAE" w:rsidRPr="006B41D1" w:rsidRDefault="00547BAE" w:rsidP="006B41D1">
                            <w:pPr>
                              <w:jc w:val="center"/>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자외선 차단제 표준시료에서 옥시벤존의 피크 면적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E8D2FA" id="Text Box 15" o:spid="_x0000_s1029" type="#_x0000_t202" style="position:absolute;left:0;text-align:left;margin-left:159pt;margin-top:47.3pt;width:262.5pt;height:18.7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" fillcolor="white [3201]" stroked="f" strokeweight=".5pt">
                <v:textbox inset="0,0,0,0">
                  <w:txbxContent>
                    <w:p w14:paraId="1C038E9E" w14:textId="40D89EE0" w:rsidR="00547BAE" w:rsidRPr="006B41D1" w:rsidRDefault="00547BAE" w:rsidP="006B41D1">
                      <w:pPr>
                        <w:jc w:val="center"/>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자외선 차단제 표준시료에서 옥시벤존의 피크 면적</w:t>
                      </w:r>
                    </w:p>
                  </w:txbxContent>
                </v:textbox>
              </v:shape>
            </w:pict>
          </mc:Fallback>
        </mc:AlternateContent>
      </w:r>
      <w:r w:rsidRPr="002C7F14">
        <w:rPr>
          <w:rFonts w:asciiTheme="minorEastAsia" w:eastAsiaTheme="minorEastAsia" w:hAnsiTheme="minorEastAsia"/>
          <w:noProof/>
          <w:sz w:val="20"/>
          <w:lang w:eastAsia="ko-KR"/>
        </w:rPr>
        <mc:AlternateContent>
          <mc:Choice Requires="wps">
            <w:drawing>
              <wp:anchor distT="0" distB="0" distL="114300" distR="114300" simplePos="0" relativeHeight="251650560" behindDoc="0" locked="0" layoutInCell="1" allowOverlap="1" wp14:anchorId="5CBA83AD" wp14:editId="44D3B2D3">
                <wp:simplePos x="0" y="0"/>
                <wp:positionH relativeFrom="column">
                  <wp:posOffset>2066925</wp:posOffset>
                </wp:positionH>
                <wp:positionV relativeFrom="paragraph">
                  <wp:posOffset>38735</wp:posOffset>
                </wp:positionV>
                <wp:extent cx="3333750" cy="2381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3333750" cy="238125"/>
                        </a:xfrm>
                        <a:prstGeom prst="rect">
                          <a:avLst/>
                        </a:prstGeom>
                        <a:solidFill>
                          <a:schemeClr val="lt1"/>
                        </a:solidFill>
                        <a:ln w="6350">
                          <a:noFill/>
                        </a:ln>
                      </wps:spPr>
                      <wps:txbx>
                        <w:txbxContent>
                          <w:p w14:paraId="35A9592C" w14:textId="0B683186" w:rsidR="00547BAE" w:rsidRPr="006B41D1" w:rsidRDefault="00547BAE" w:rsidP="006B41D1">
                            <w:pPr>
                              <w:jc w:val="center"/>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자외선 차단제 표준시료에서 옥시벤존의 피크 면적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BA83AD" id="Text Box 11" o:spid="_x0000_s1030" type="#_x0000_t202" style="position:absolute;left:0;text-align:left;margin-left:162.75pt;margin-top:3.05pt;width:262.5pt;height:18.7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" fillcolor="white [3201]" stroked="f" strokeweight=".5pt">
                <v:textbox inset="0,0,0,0">
                  <w:txbxContent>
                    <w:p w14:paraId="35A9592C" w14:textId="0B683186" w:rsidR="00547BAE" w:rsidRPr="006B41D1" w:rsidRDefault="00547BAE" w:rsidP="006B41D1">
                      <w:pPr>
                        <w:jc w:val="center"/>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자외선 차단제 표준시료에서 옥시벤존의 피크 면적</w:t>
                      </w:r>
                    </w:p>
                  </w:txbxContent>
                </v:textbox>
              </v:shape>
            </w:pict>
          </mc:Fallback>
        </mc:AlternateContent>
      </w:r>
      <w:r w:rsidRPr="002C7F14">
        <w:rPr>
          <w:rFonts w:asciiTheme="minorEastAsia" w:eastAsiaTheme="minorEastAsia" w:hAnsiTheme="minorEastAsia"/>
          <w:noProof/>
          <w:sz w:val="20"/>
          <w:lang w:eastAsia="ko-KR"/>
        </w:rPr>
        <mc:AlternateContent>
          <mc:Choice Requires="wps">
            <w:drawing>
              <wp:anchor distT="0" distB="0" distL="114300" distR="114300" simplePos="0" relativeHeight="251649536" behindDoc="0" locked="0" layoutInCell="1" allowOverlap="1" wp14:anchorId="100561CD" wp14:editId="766F2331">
                <wp:simplePos x="0" y="0"/>
                <wp:positionH relativeFrom="column">
                  <wp:posOffset>409575</wp:posOffset>
                </wp:positionH>
                <wp:positionV relativeFrom="paragraph">
                  <wp:posOffset>181610</wp:posOffset>
                </wp:positionV>
                <wp:extent cx="1381125" cy="2381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1381125" cy="238125"/>
                        </a:xfrm>
                        <a:prstGeom prst="rect">
                          <a:avLst/>
                        </a:prstGeom>
                        <a:solidFill>
                          <a:schemeClr val="lt1"/>
                        </a:solidFill>
                        <a:ln w="6350">
                          <a:noFill/>
                        </a:ln>
                      </wps:spPr>
                      <wps:txbx>
                        <w:txbxContent>
                          <w:p w14:paraId="1AEF78B8" w14:textId="166EAC85" w:rsidR="00547BAE" w:rsidRPr="006B41D1" w:rsidRDefault="00547BAE" w:rsidP="006B41D1">
                            <w:pPr>
                              <w:jc w:val="right"/>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옥시벤존 비율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00561CD" id="Text Box 10" o:spid="_x0000_s1031" type="#_x0000_t202" style="position:absolute;left:0;text-align:left;margin-left:32.25pt;margin-top:14.3pt;width:108.75pt;height:18.7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" fillcolor="white [3201]" stroked="f" strokeweight=".5pt">
                <v:textbox inset="0,0,0,0">
                  <w:txbxContent>
                    <w:p w14:paraId="1AEF78B8" w14:textId="166EAC85" w:rsidR="00547BAE" w:rsidRPr="006B41D1" w:rsidRDefault="00547BAE" w:rsidP="006B41D1">
                      <w:pPr>
                        <w:jc w:val="right"/>
                        <w:rPr>
                          <w:rFonts w:asciiTheme="minorEastAsia" w:eastAsiaTheme="minorEastAsia" w:hAnsiTheme="minorEastAsia"/>
                          <w:sz w:val="20"/>
                          <w:lang w:eastAsia="ko-KR"/>
                        </w:rPr>
                      </w:pPr>
                      <w:r>
                        <w:rPr>
                          <w:rFonts w:asciiTheme="minorEastAsia" w:eastAsiaTheme="minorEastAsia" w:hAnsiTheme="minorEastAsia" w:hint="eastAsia"/>
                          <w:sz w:val="20"/>
                          <w:lang w:eastAsia="ko-KR"/>
                        </w:rPr>
                        <w:t>옥시벤존 비율</w:t>
                      </w:r>
                    </w:p>
                  </w:txbxContent>
                </v:textbox>
              </v:shape>
            </w:pict>
          </mc:Fallback>
        </mc:AlternateContent>
      </w:r>
      <w:r w:rsidRPr="002C7F14">
        <w:rPr>
          <w:rFonts w:asciiTheme="minorEastAsia" w:eastAsiaTheme="minorEastAsia" w:hAnsiTheme="minorEastAsia"/>
          <w:noProof/>
          <w:sz w:val="20"/>
          <w:lang w:eastAsia="ko-KR"/>
        </w:rPr>
        <w:drawing>
          <wp:inline distT="0" distB="0" distL="0" distR="0" wp14:anchorId="495D4AAE" wp14:editId="1B06C0BE">
            <wp:extent cx="5600700" cy="1095375"/>
            <wp:effectExtent l="0" t="0" r="0" b="952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00700" cy="1095375"/>
                    </a:xfrm>
                    <a:prstGeom prst="rect">
                      <a:avLst/>
                    </a:prstGeom>
                  </pic:spPr>
                </pic:pic>
              </a:graphicData>
            </a:graphic>
          </wp:inline>
        </w:drawing>
      </w:r>
    </w:p>
    <w:p w14:paraId="42055801" w14:textId="50351B90" w:rsidR="0063516C" w:rsidRPr="002C7F14" w:rsidRDefault="0063516C" w:rsidP="00EF791F">
      <w:pPr>
        <w:spacing w:line="264" w:lineRule="auto"/>
        <w:jc w:val="both"/>
        <w:rPr>
          <w:rFonts w:asciiTheme="minorEastAsia" w:eastAsiaTheme="minorEastAsia" w:hAnsiTheme="minorEastAsia" w:cs="맑은 고딕"/>
          <w:sz w:val="20"/>
          <w:szCs w:val="20"/>
          <w:lang w:eastAsia="ko-KR"/>
        </w:rPr>
      </w:pPr>
    </w:p>
    <w:p w14:paraId="4C3FCAB3" w14:textId="72B186CC" w:rsidR="0063516C" w:rsidRPr="002C7F14" w:rsidRDefault="006B41D1" w:rsidP="006B41D1">
      <w:pPr>
        <w:spacing w:line="264" w:lineRule="auto"/>
        <w:ind w:leftChars="1546" w:left="3401"/>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(2) SPF </w:t>
      </w:r>
      <w:r w:rsidRPr="002C7F14">
        <w:rPr>
          <w:rFonts w:asciiTheme="minorEastAsia" w:eastAsiaTheme="minorEastAsia" w:hAnsiTheme="minorEastAsia" w:cs="맑은 고딕" w:hint="eastAsia"/>
          <w:sz w:val="20"/>
          <w:szCs w:val="20"/>
          <w:lang w:eastAsia="ko-KR"/>
        </w:rPr>
        <w:t>표준시료에서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비율은</w:t>
      </w:r>
      <w:r w:rsidRPr="002C7F14">
        <w:rPr>
          <w:rFonts w:asciiTheme="minorEastAsia" w:eastAsiaTheme="minorEastAsia" w:hAnsiTheme="minorEastAsia" w:cs="맑은 고딕"/>
          <w:sz w:val="20"/>
          <w:szCs w:val="20"/>
          <w:lang w:eastAsia="ko-KR"/>
        </w:rPr>
        <w:t xml:space="preserve"> 95~105 </w:t>
      </w:r>
      <w:r w:rsidRPr="002C7F14">
        <w:rPr>
          <w:rFonts w:asciiTheme="minorEastAsia" w:eastAsiaTheme="minorEastAsia" w:hAnsiTheme="minorEastAsia" w:cs="맑은 고딕" w:hint="eastAsia"/>
          <w:sz w:val="20"/>
          <w:szCs w:val="20"/>
          <w:lang w:eastAsia="ko-KR"/>
        </w:rPr>
        <w:t>사이여야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B062D6A" w14:textId="77777777" w:rsidR="0063516C" w:rsidRPr="002C7F14" w:rsidRDefault="0063516C" w:rsidP="00152AD7">
      <w:pPr>
        <w:jc w:val="both"/>
        <w:rPr>
          <w:rFonts w:asciiTheme="minorEastAsia" w:eastAsiaTheme="minorEastAsia" w:hAnsiTheme="minorEastAsia" w:cs="맑은 고딕"/>
          <w:sz w:val="20"/>
          <w:szCs w:val="20"/>
          <w:lang w:eastAsia="ko-KR"/>
        </w:rPr>
      </w:pPr>
    </w:p>
    <w:p w14:paraId="2E3C7FA3" w14:textId="77777777" w:rsidR="00744E39" w:rsidRPr="002C7F14" w:rsidRDefault="00744E39" w:rsidP="00312238">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피험자</w:t>
      </w:r>
    </w:p>
    <w:p w14:paraId="61F94CE8"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34083F11" w14:textId="77777777" w:rsidR="00744E39" w:rsidRPr="002C7F14" w:rsidRDefault="00744E39" w:rsidP="00650819">
      <w:pPr>
        <w:pStyle w:val="a8"/>
        <w:numPr>
          <w:ilvl w:val="0"/>
          <w:numId w:val="79"/>
        </w:numPr>
        <w:tabs>
          <w:tab w:val="left" w:pos="851"/>
        </w:tabs>
        <w:ind w:leftChars="193" w:left="425" w:firstLineChars="1" w:firstLine="2"/>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피험자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패널은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10</w:t>
      </w:r>
      <w:r w:rsidRPr="002C7F14">
        <w:rPr>
          <w:rFonts w:asciiTheme="minorEastAsia" w:eastAsiaTheme="minorEastAsia" w:hAnsiTheme="minorEastAsia" w:hint="eastAsia"/>
          <w:sz w:val="20"/>
          <w:szCs w:val="20"/>
          <w:lang w:eastAsia="ko-KR"/>
        </w:rPr>
        <w:t>개의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유효한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결과를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생성할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만큼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충분한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포함해야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w:t>
      </w:r>
      <w:r w:rsidRPr="002C7F14">
        <w:rPr>
          <w:rFonts w:asciiTheme="minorEastAsia" w:eastAsiaTheme="minorEastAsia" w:hAnsiTheme="minorEastAsia"/>
          <w:sz w:val="20"/>
          <w:szCs w:val="20"/>
          <w:lang w:eastAsia="ko-KR"/>
        </w:rPr>
        <w:t xml:space="preserve"> M020.80(f)(5)</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근거하여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최대</w:t>
      </w:r>
      <w:r w:rsidRPr="002C7F14">
        <w:rPr>
          <w:rFonts w:asciiTheme="minorEastAsia" w:eastAsiaTheme="minorEastAsia" w:hAnsiTheme="minorEastAsia"/>
          <w:sz w:val="20"/>
          <w:szCs w:val="20"/>
          <w:lang w:eastAsia="ko-KR"/>
        </w:rPr>
        <w:t xml:space="preserve"> 3</w:t>
      </w:r>
      <w:r w:rsidRPr="002C7F14">
        <w:rPr>
          <w:rFonts w:asciiTheme="minorEastAsia" w:eastAsiaTheme="minorEastAsia" w:hAnsiTheme="minorEastAsia" w:hint="eastAsia"/>
          <w:sz w:val="20"/>
          <w:szCs w:val="20"/>
          <w:lang w:eastAsia="ko-KR"/>
        </w:rPr>
        <w:t>명의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패널에서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거부될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있다</w:t>
      </w:r>
      <w:r w:rsidRPr="002C7F14">
        <w:rPr>
          <w:rFonts w:asciiTheme="minorEastAsia" w:eastAsiaTheme="minorEastAsia" w:hAnsiTheme="minorEastAsia"/>
          <w:sz w:val="20"/>
          <w:szCs w:val="20"/>
          <w:lang w:eastAsia="ko-KR"/>
        </w:rPr>
        <w:t>.</w:t>
      </w:r>
    </w:p>
    <w:p w14:paraId="3B684066" w14:textId="77777777" w:rsidR="00744E39" w:rsidRPr="002C7F14" w:rsidRDefault="00744E39" w:rsidP="00312238">
      <w:pPr>
        <w:pStyle w:val="a9"/>
        <w:tabs>
          <w:tab w:val="left" w:pos="851"/>
        </w:tabs>
        <w:ind w:leftChars="193" w:left="425" w:firstLineChars="1" w:firstLine="2"/>
        <w:jc w:val="both"/>
        <w:rPr>
          <w:rFonts w:asciiTheme="minorEastAsia" w:eastAsiaTheme="minorEastAsia" w:hAnsiTheme="minorEastAsia"/>
          <w:sz w:val="20"/>
          <w:szCs w:val="20"/>
          <w:lang w:eastAsia="ko-KR"/>
        </w:rPr>
      </w:pPr>
    </w:p>
    <w:p w14:paraId="297B5F00" w14:textId="77777777" w:rsidR="00744E39" w:rsidRPr="002C7F14" w:rsidRDefault="00744E39" w:rsidP="00650819">
      <w:pPr>
        <w:pStyle w:val="a8"/>
        <w:numPr>
          <w:ilvl w:val="0"/>
          <w:numId w:val="79"/>
        </w:numPr>
        <w:tabs>
          <w:tab w:val="left" w:pos="851"/>
        </w:tabs>
        <w:ind w:leftChars="193" w:left="425" w:firstLineChars="1" w:firstLine="2"/>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병력</w:t>
      </w:r>
    </w:p>
    <w:p w14:paraId="7CF84396"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5B45C15C" w14:textId="77777777" w:rsidR="00744E39" w:rsidRPr="002C7F14" w:rsidRDefault="00744E39" w:rsidP="00650819">
      <w:pPr>
        <w:pStyle w:val="a8"/>
        <w:numPr>
          <w:ilvl w:val="1"/>
          <w:numId w:val="79"/>
        </w:numPr>
        <w:tabs>
          <w:tab w:val="left" w:pos="1276"/>
        </w:tabs>
        <w:ind w:leftChars="386" w:left="849"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피험자의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미치는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햇빛의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영향에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중점을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두어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병력을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확보한다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전반적으로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건강한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상태이고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다음과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같은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I, II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III</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해당하는지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판단한다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이러한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조건이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충족되지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참여할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자격이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없다</w:t>
      </w:r>
      <w:r w:rsidRPr="002C7F14">
        <w:rPr>
          <w:rFonts w:asciiTheme="minorEastAsia" w:eastAsiaTheme="minorEastAsia" w:hAnsiTheme="minorEastAsia"/>
          <w:sz w:val="20"/>
          <w:szCs w:val="20"/>
          <w:lang w:eastAsia="ko-KR"/>
        </w:rPr>
        <w:t>.</w:t>
      </w:r>
    </w:p>
    <w:p w14:paraId="1E17C79B"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11514F57" w14:textId="77777777" w:rsidR="00744E39" w:rsidRPr="002C7F14" w:rsidRDefault="00744E39" w:rsidP="00650819">
      <w:pPr>
        <w:pStyle w:val="a8"/>
        <w:numPr>
          <w:ilvl w:val="2"/>
          <w:numId w:val="79"/>
        </w:numPr>
        <w:tabs>
          <w:tab w:val="left" w:pos="1701"/>
        </w:tabs>
        <w:ind w:leftChars="515" w:left="1133"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항상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쉽게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타고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절대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I: </w:t>
      </w:r>
      <w:r w:rsidRPr="002C7F14">
        <w:rPr>
          <w:rFonts w:asciiTheme="minorEastAsia" w:eastAsiaTheme="minorEastAsia" w:hAnsiTheme="minorEastAsia" w:hint="eastAsia"/>
          <w:sz w:val="20"/>
          <w:szCs w:val="20"/>
          <w:lang w:eastAsia="ko-KR"/>
        </w:rPr>
        <w:t>민감성</w:t>
      </w:r>
      <w:r w:rsidRPr="002C7F14">
        <w:rPr>
          <w:rFonts w:asciiTheme="minorEastAsia" w:eastAsiaTheme="minorEastAsia" w:hAnsiTheme="minorEastAsia"/>
          <w:sz w:val="20"/>
          <w:szCs w:val="20"/>
          <w:lang w:eastAsia="ko-KR"/>
        </w:rPr>
        <w:t>).</w:t>
      </w:r>
    </w:p>
    <w:p w14:paraId="775D81C3" w14:textId="77777777" w:rsidR="00744E39" w:rsidRPr="002C7F14" w:rsidRDefault="00744E39" w:rsidP="00650819">
      <w:pPr>
        <w:pStyle w:val="a8"/>
        <w:numPr>
          <w:ilvl w:val="2"/>
          <w:numId w:val="79"/>
        </w:numPr>
        <w:tabs>
          <w:tab w:val="left" w:pos="1701"/>
        </w:tabs>
        <w:ind w:leftChars="515" w:left="1133"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항상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쉽게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타고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약간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II: </w:t>
      </w:r>
      <w:r w:rsidRPr="002C7F14">
        <w:rPr>
          <w:rFonts w:asciiTheme="minorEastAsia" w:eastAsiaTheme="minorEastAsia" w:hAnsiTheme="minorEastAsia" w:hint="eastAsia"/>
          <w:sz w:val="20"/>
          <w:szCs w:val="20"/>
          <w:lang w:eastAsia="ko-KR"/>
        </w:rPr>
        <w:t>민감성</w:t>
      </w:r>
      <w:r w:rsidRPr="002C7F14">
        <w:rPr>
          <w:rFonts w:asciiTheme="minorEastAsia" w:eastAsiaTheme="minorEastAsia" w:hAnsiTheme="minorEastAsia"/>
          <w:sz w:val="20"/>
          <w:szCs w:val="20"/>
          <w:lang w:eastAsia="ko-KR"/>
        </w:rPr>
        <w:t>).</w:t>
      </w:r>
    </w:p>
    <w:p w14:paraId="594808C7" w14:textId="77777777" w:rsidR="00744E39" w:rsidRPr="002C7F14" w:rsidRDefault="00744E39" w:rsidP="00650819">
      <w:pPr>
        <w:pStyle w:val="a8"/>
        <w:numPr>
          <w:ilvl w:val="2"/>
          <w:numId w:val="79"/>
        </w:numPr>
        <w:tabs>
          <w:tab w:val="left" w:pos="1701"/>
        </w:tabs>
        <w:ind w:leftChars="515" w:left="1133"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보통으로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타고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점차</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연한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갈색</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III: </w:t>
      </w:r>
      <w:r w:rsidRPr="002C7F14">
        <w:rPr>
          <w:rFonts w:asciiTheme="minorEastAsia" w:eastAsiaTheme="minorEastAsia" w:hAnsiTheme="minorEastAsia" w:hint="eastAsia"/>
          <w:sz w:val="20"/>
          <w:szCs w:val="20"/>
          <w:lang w:eastAsia="ko-KR"/>
        </w:rPr>
        <w:t>정상</w:t>
      </w:r>
      <w:r w:rsidRPr="002C7F14">
        <w:rPr>
          <w:rFonts w:asciiTheme="minorEastAsia" w:eastAsiaTheme="minorEastAsia" w:hAnsiTheme="minorEastAsia"/>
          <w:sz w:val="20"/>
          <w:szCs w:val="20"/>
          <w:lang w:eastAsia="ko-KR"/>
        </w:rPr>
        <w:t>).</w:t>
      </w:r>
    </w:p>
    <w:p w14:paraId="3B85ACB6" w14:textId="77777777" w:rsidR="00744E39" w:rsidRPr="002C7F14" w:rsidRDefault="00744E39" w:rsidP="00650819">
      <w:pPr>
        <w:pStyle w:val="a8"/>
        <w:numPr>
          <w:ilvl w:val="2"/>
          <w:numId w:val="79"/>
        </w:numPr>
        <w:tabs>
          <w:tab w:val="left" w:pos="1701"/>
        </w:tabs>
        <w:ind w:leftChars="515" w:left="1133"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최소한으로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타고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항상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쉽게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중간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갈색</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IV: </w:t>
      </w:r>
      <w:r w:rsidRPr="002C7F14">
        <w:rPr>
          <w:rFonts w:asciiTheme="minorEastAsia" w:eastAsiaTheme="minorEastAsia" w:hAnsiTheme="minorEastAsia" w:hint="eastAsia"/>
          <w:sz w:val="20"/>
          <w:szCs w:val="20"/>
          <w:lang w:eastAsia="ko-KR"/>
        </w:rPr>
        <w:t>정상</w:t>
      </w:r>
      <w:r w:rsidRPr="002C7F14">
        <w:rPr>
          <w:rFonts w:asciiTheme="minorEastAsia" w:eastAsiaTheme="minorEastAsia" w:hAnsiTheme="minorEastAsia"/>
          <w:sz w:val="20"/>
          <w:szCs w:val="20"/>
          <w:lang w:eastAsia="ko-KR"/>
        </w:rPr>
        <w:t>).</w:t>
      </w:r>
    </w:p>
    <w:p w14:paraId="123F839C" w14:textId="77777777" w:rsidR="00744E39" w:rsidRPr="002C7F14" w:rsidRDefault="00744E39" w:rsidP="00650819">
      <w:pPr>
        <w:pStyle w:val="a8"/>
        <w:numPr>
          <w:ilvl w:val="2"/>
          <w:numId w:val="79"/>
        </w:numPr>
        <w:tabs>
          <w:tab w:val="left" w:pos="1701"/>
        </w:tabs>
        <w:ind w:leftChars="515" w:left="1133"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거의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타지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심하게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진한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갈색</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V: </w:t>
      </w:r>
      <w:r w:rsidRPr="002C7F14">
        <w:rPr>
          <w:rFonts w:asciiTheme="minorEastAsia" w:eastAsiaTheme="minorEastAsia" w:hAnsiTheme="minorEastAsia" w:hint="eastAsia"/>
          <w:sz w:val="20"/>
          <w:szCs w:val="20"/>
          <w:lang w:eastAsia="ko-KR"/>
        </w:rPr>
        <w:t>비민감성</w:t>
      </w:r>
      <w:r w:rsidRPr="002C7F14">
        <w:rPr>
          <w:rFonts w:asciiTheme="minorEastAsia" w:eastAsiaTheme="minorEastAsia" w:hAnsiTheme="minorEastAsia"/>
          <w:sz w:val="20"/>
          <w:szCs w:val="20"/>
          <w:lang w:eastAsia="ko-KR"/>
        </w:rPr>
        <w:t>).</w:t>
      </w:r>
    </w:p>
    <w:p w14:paraId="29A8A1B5" w14:textId="77777777" w:rsidR="00744E39" w:rsidRPr="002C7F14" w:rsidRDefault="00744E39" w:rsidP="00650819">
      <w:pPr>
        <w:pStyle w:val="a8"/>
        <w:numPr>
          <w:ilvl w:val="2"/>
          <w:numId w:val="79"/>
        </w:numPr>
        <w:tabs>
          <w:tab w:val="left" w:pos="1701"/>
        </w:tabs>
        <w:ind w:leftChars="515" w:left="1133"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절대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타지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색소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침착이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심하다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w:t>
      </w:r>
      <w:r w:rsidRPr="002C7F14">
        <w:rPr>
          <w:rFonts w:asciiTheme="minorEastAsia" w:eastAsiaTheme="minorEastAsia" w:hAnsiTheme="minorEastAsia"/>
          <w:sz w:val="20"/>
          <w:szCs w:val="20"/>
          <w:lang w:eastAsia="ko-KR"/>
        </w:rPr>
        <w:t xml:space="preserve"> VI: </w:t>
      </w:r>
      <w:r w:rsidRPr="002C7F14">
        <w:rPr>
          <w:rFonts w:asciiTheme="minorEastAsia" w:eastAsiaTheme="minorEastAsia" w:hAnsiTheme="minorEastAsia" w:hint="eastAsia"/>
          <w:sz w:val="20"/>
          <w:szCs w:val="20"/>
          <w:lang w:eastAsia="ko-KR"/>
        </w:rPr>
        <w:t>비민감성</w:t>
      </w:r>
      <w:r w:rsidRPr="002C7F14">
        <w:rPr>
          <w:rFonts w:asciiTheme="minorEastAsia" w:eastAsiaTheme="minorEastAsia" w:hAnsiTheme="minorEastAsia"/>
          <w:sz w:val="20"/>
          <w:szCs w:val="20"/>
          <w:lang w:eastAsia="ko-KR"/>
        </w:rPr>
        <w:t>).</w:t>
      </w:r>
    </w:p>
    <w:p w14:paraId="455072C6"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40F5C0DB" w14:textId="77777777" w:rsidR="00744E39" w:rsidRPr="002C7F14" w:rsidRDefault="00744E39" w:rsidP="00650819">
      <w:pPr>
        <w:pStyle w:val="a8"/>
        <w:numPr>
          <w:ilvl w:val="1"/>
          <w:numId w:val="79"/>
        </w:numPr>
        <w:tabs>
          <w:tab w:val="left" w:pos="1276"/>
        </w:tabs>
        <w:ind w:leftChars="386" w:left="849"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유형은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햇빛에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노출되지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겨울철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첫</w:t>
      </w:r>
      <w:r w:rsidRPr="002C7F14">
        <w:rPr>
          <w:rFonts w:asciiTheme="minorEastAsia" w:eastAsiaTheme="minorEastAsia" w:hAnsiTheme="minorEastAsia"/>
          <w:sz w:val="20"/>
          <w:szCs w:val="20"/>
          <w:lang w:eastAsia="ko-KR"/>
        </w:rPr>
        <w:t xml:space="preserve"> 30~45</w:t>
      </w:r>
      <w:r w:rsidRPr="002C7F14">
        <w:rPr>
          <w:rFonts w:asciiTheme="minorEastAsia" w:eastAsiaTheme="minorEastAsia" w:hAnsiTheme="minorEastAsia" w:hint="eastAsia"/>
          <w:sz w:val="20"/>
          <w:szCs w:val="20"/>
          <w:lang w:eastAsia="ko-KR"/>
        </w:rPr>
        <w:t>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동안의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햇빛</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노출을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기준으로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피험자가</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변화시키는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것으로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알려진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국소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전신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약물을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복용하지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확인한다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국소 제품에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민감성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햇빛에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비정상적인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광독성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광알레르기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병력이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없음을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확인한다</w:t>
      </w:r>
      <w:r w:rsidRPr="002C7F14">
        <w:rPr>
          <w:rFonts w:asciiTheme="minorEastAsia" w:eastAsiaTheme="minorEastAsia" w:hAnsiTheme="minorEastAsia"/>
          <w:sz w:val="20"/>
          <w:szCs w:val="20"/>
          <w:lang w:eastAsia="ko-KR"/>
        </w:rPr>
        <w:t>.</w:t>
      </w:r>
    </w:p>
    <w:p w14:paraId="2EF47570"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734A2865" w14:textId="77777777" w:rsidR="00744E39" w:rsidRPr="002C7F14" w:rsidRDefault="00744E39" w:rsidP="00650819">
      <w:pPr>
        <w:pStyle w:val="a8"/>
        <w:numPr>
          <w:ilvl w:val="0"/>
          <w:numId w:val="79"/>
        </w:numPr>
        <w:tabs>
          <w:tab w:val="left" w:pos="851"/>
        </w:tabs>
        <w:ind w:leftChars="193" w:left="425" w:firstLineChars="1" w:firstLine="2"/>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신체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일광화상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흉터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활성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병변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고르지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톤이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있는지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확인하기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신체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검사를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실시한다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이전</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노출</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이전</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임상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태닝</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충분한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시간이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지나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등록</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피험자에게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기존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색소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침착이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없어야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우즈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램프와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같은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적절한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저전력</w:t>
      </w:r>
      <w:r w:rsidRPr="002C7F14">
        <w:rPr>
          <w:rFonts w:asciiTheme="minorEastAsia" w:eastAsiaTheme="minorEastAsia" w:hAnsiTheme="minorEastAsia"/>
          <w:sz w:val="20"/>
          <w:szCs w:val="20"/>
          <w:lang w:eastAsia="ko-KR"/>
        </w:rPr>
        <w:t xml:space="preserve"> UVA </w:t>
      </w:r>
      <w:r w:rsidRPr="002C7F14">
        <w:rPr>
          <w:rFonts w:asciiTheme="minorEastAsia" w:eastAsiaTheme="minorEastAsia" w:hAnsiTheme="minorEastAsia" w:hint="eastAsia"/>
          <w:sz w:val="20"/>
          <w:szCs w:val="20"/>
          <w:lang w:eastAsia="ko-KR"/>
        </w:rPr>
        <w:t>광원이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과정에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도움이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전술한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중</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어느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하나에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해당하는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참여할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자격이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없다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잡티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점이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지장을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주거나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안전을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위협하지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않는다는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의사의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판단이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있다면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허용된다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비정형</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모반이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등록해서는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과도한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체모는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깎는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허용된다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면도는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각질층의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상당</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부분을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제거하고</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일시적으로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변화시킬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있으므로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허용되지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않는다</w:t>
      </w:r>
      <w:r w:rsidRPr="002C7F14">
        <w:rPr>
          <w:rFonts w:asciiTheme="minorEastAsia" w:eastAsiaTheme="minorEastAsia" w:hAnsiTheme="minorEastAsia"/>
          <w:sz w:val="20"/>
          <w:szCs w:val="20"/>
          <w:lang w:eastAsia="ko-KR"/>
        </w:rPr>
        <w:t>.</w:t>
      </w:r>
    </w:p>
    <w:p w14:paraId="7EFC9B4E" w14:textId="77777777" w:rsidR="00744E39" w:rsidRPr="002C7F14" w:rsidRDefault="00744E39" w:rsidP="00312238">
      <w:pPr>
        <w:pStyle w:val="a8"/>
        <w:tabs>
          <w:tab w:val="left" w:pos="851"/>
        </w:tabs>
        <w:ind w:leftChars="0" w:left="427"/>
        <w:jc w:val="both"/>
        <w:rPr>
          <w:rFonts w:asciiTheme="minorEastAsia" w:eastAsiaTheme="minorEastAsia" w:hAnsiTheme="minorEastAsia"/>
          <w:sz w:val="20"/>
          <w:szCs w:val="20"/>
          <w:lang w:eastAsia="ko-KR"/>
        </w:rPr>
      </w:pPr>
    </w:p>
    <w:p w14:paraId="3BDEFFD7" w14:textId="77777777" w:rsidR="00744E39" w:rsidRPr="002C7F14" w:rsidRDefault="00744E39" w:rsidP="00650819">
      <w:pPr>
        <w:pStyle w:val="a8"/>
        <w:numPr>
          <w:ilvl w:val="0"/>
          <w:numId w:val="79"/>
        </w:numPr>
        <w:tabs>
          <w:tab w:val="left" w:pos="851"/>
        </w:tabs>
        <w:ind w:leftChars="193" w:left="425" w:firstLineChars="1" w:firstLine="2"/>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고지에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입각한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동의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w:t>
      </w:r>
      <w:r w:rsidRPr="002C7F14">
        <w:rPr>
          <w:rFonts w:asciiTheme="minorEastAsia" w:eastAsiaTheme="minorEastAsia" w:hAnsiTheme="minorEastAsia"/>
          <w:sz w:val="20"/>
          <w:szCs w:val="20"/>
          <w:lang w:eastAsia="ko-KR"/>
        </w:rPr>
        <w:t xml:space="preserve"> M020.80(a)(2)</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따라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피험자로부터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법적으로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유효한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고지에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입각한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서면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동의를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받는다</w:t>
      </w:r>
      <w:r w:rsidRPr="002C7F14">
        <w:rPr>
          <w:rFonts w:asciiTheme="minorEastAsia" w:eastAsiaTheme="minorEastAsia" w:hAnsiTheme="minorEastAsia"/>
          <w:sz w:val="20"/>
          <w:szCs w:val="20"/>
          <w:lang w:eastAsia="ko-KR"/>
        </w:rPr>
        <w:t xml:space="preserve">. </w:t>
      </w:r>
    </w:p>
    <w:p w14:paraId="7509A25C"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0DA699AA" w14:textId="77777777" w:rsidR="00744E39" w:rsidRPr="002C7F14" w:rsidRDefault="00744E39" w:rsidP="00312238">
      <w:pPr>
        <w:pStyle w:val="a8"/>
        <w:numPr>
          <w:ilvl w:val="0"/>
          <w:numId w:val="60"/>
        </w:numPr>
        <w:tabs>
          <w:tab w:val="left" w:pos="0"/>
          <w:tab w:val="left" w:pos="444"/>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p>
    <w:p w14:paraId="4B61B426"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7E48E1C7" w14:textId="1DEA463A" w:rsidR="00744E39" w:rsidRPr="002C7F14" w:rsidRDefault="00744E39" w:rsidP="00650819">
      <w:pPr>
        <w:pStyle w:val="a8"/>
        <w:numPr>
          <w:ilvl w:val="0"/>
          <w:numId w:val="80"/>
        </w:numPr>
        <w:tabs>
          <w:tab w:val="left" w:pos="851"/>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판단하기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벨트라인과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어깨뼈</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견갑골</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사이에서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정중선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측면에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위치한다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시험물질이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미적용</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자외선차단제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표준시료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별도의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범위에서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판단한다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무작위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맹검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방식으로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배치해야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30 </w:t>
      </w:r>
      <w:r w:rsidRPr="002C7F14">
        <w:rPr>
          <w:rFonts w:asciiTheme="minorEastAsia" w:eastAsiaTheme="minorEastAsia" w:hAnsiTheme="minorEastAsia" w:hint="eastAsia"/>
          <w:sz w:val="20"/>
          <w:szCs w:val="20"/>
          <w:lang w:eastAsia="ko-KR"/>
        </w:rPr>
        <w:t>제곱센티미터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이상이어야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지워지지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잉크로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윤곽을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그려야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w:t>
      </w:r>
      <w:r w:rsidR="00E723DF" w:rsidRPr="002C7F14">
        <w:rPr>
          <w:rFonts w:asciiTheme="minorEastAsia" w:eastAsiaTheme="minorEastAsia" w:hAnsiTheme="minorEastAsia"/>
          <w:sz w:val="20"/>
          <w:szCs w:val="20"/>
          <w:lang w:eastAsia="ko-KR"/>
        </w:rPr>
        <w:t xml:space="preserve"> </w:t>
      </w:r>
    </w:p>
    <w:p w14:paraId="4D0A968A" w14:textId="77777777" w:rsidR="00744E39" w:rsidRPr="002C7F14" w:rsidRDefault="00744E39" w:rsidP="00312238">
      <w:pPr>
        <w:pStyle w:val="a9"/>
        <w:tabs>
          <w:tab w:val="left" w:pos="851"/>
        </w:tabs>
        <w:ind w:leftChars="193" w:left="425"/>
        <w:jc w:val="both"/>
        <w:rPr>
          <w:rFonts w:asciiTheme="minorEastAsia" w:eastAsiaTheme="minorEastAsia" w:hAnsiTheme="minorEastAsia"/>
          <w:sz w:val="20"/>
          <w:szCs w:val="20"/>
          <w:lang w:eastAsia="ko-KR"/>
        </w:rPr>
      </w:pPr>
    </w:p>
    <w:p w14:paraId="2A3E00BA" w14:textId="4E801273" w:rsidR="00744E39" w:rsidRPr="002C7F14" w:rsidRDefault="00744E39" w:rsidP="00650819">
      <w:pPr>
        <w:pStyle w:val="a8"/>
        <w:numPr>
          <w:ilvl w:val="0"/>
          <w:numId w:val="80"/>
        </w:numPr>
        <w:tabs>
          <w:tab w:val="left" w:pos="851"/>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내에서</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위치이다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5</w:t>
      </w:r>
      <w:r w:rsidRPr="002C7F14">
        <w:rPr>
          <w:rFonts w:asciiTheme="minorEastAsia" w:eastAsiaTheme="minorEastAsia" w:hAnsiTheme="minorEastAsia" w:hint="eastAsia"/>
          <w:sz w:val="20"/>
          <w:szCs w:val="20"/>
          <w:lang w:eastAsia="ko-KR"/>
        </w:rPr>
        <w:t>개의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하위부위에</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면적이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0.5 </w:t>
      </w:r>
      <w:r w:rsidRPr="002C7F14">
        <w:rPr>
          <w:rFonts w:asciiTheme="minorEastAsia" w:eastAsiaTheme="minorEastAsia" w:hAnsiTheme="minorEastAsia" w:hint="eastAsia"/>
          <w:sz w:val="20"/>
          <w:szCs w:val="20"/>
          <w:lang w:eastAsia="ko-KR"/>
        </w:rPr>
        <w:t>제곱센티미터</w:t>
      </w:r>
      <w:r w:rsidRPr="002C7F14">
        <w:rPr>
          <w:rFonts w:asciiTheme="minorEastAsia" w:eastAsiaTheme="minorEastAsia" w:hAnsiTheme="minorEastAsia"/>
          <w:sz w:val="20"/>
          <w:szCs w:val="20"/>
          <w:lang w:eastAsia="ko-KR"/>
        </w:rPr>
        <w:t>(cm</w:t>
      </w:r>
      <w:r w:rsidRPr="002C7F14">
        <w:rPr>
          <w:rFonts w:asciiTheme="minorEastAsia" w:eastAsiaTheme="minorEastAsia" w:hAnsiTheme="minorEastAsia"/>
          <w:sz w:val="20"/>
          <w:szCs w:val="20"/>
          <w:vertAlign w:val="superscript"/>
          <w:lang w:eastAsia="ko-KR"/>
        </w:rPr>
        <w:t>2</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이어야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서로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0.8cm </w:t>
      </w:r>
      <w:r w:rsidRPr="002C7F14">
        <w:rPr>
          <w:rFonts w:asciiTheme="minorEastAsia" w:eastAsiaTheme="minorEastAsia" w:hAnsiTheme="minorEastAsia" w:hint="eastAsia"/>
          <w:sz w:val="20"/>
          <w:szCs w:val="20"/>
          <w:lang w:eastAsia="ko-KR"/>
        </w:rPr>
        <w:t>이상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떨어져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지워지지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잉크로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윤곽을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그려야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w:t>
      </w:r>
      <w:r w:rsidR="00E723DF" w:rsidRPr="002C7F14">
        <w:rPr>
          <w:rFonts w:asciiTheme="minorEastAsia" w:eastAsiaTheme="minorEastAsia" w:hAnsiTheme="minorEastAsia"/>
          <w:sz w:val="20"/>
          <w:szCs w:val="20"/>
          <w:lang w:eastAsia="ko-KR"/>
        </w:rPr>
        <w:t xml:space="preserve"> </w:t>
      </w:r>
    </w:p>
    <w:p w14:paraId="27AEBC2F" w14:textId="77777777" w:rsidR="00744E39" w:rsidRPr="002C7F14" w:rsidRDefault="00744E39" w:rsidP="00312238">
      <w:pPr>
        <w:pStyle w:val="a9"/>
        <w:tabs>
          <w:tab w:val="left" w:pos="851"/>
        </w:tabs>
        <w:ind w:leftChars="193" w:left="425"/>
        <w:jc w:val="both"/>
        <w:rPr>
          <w:rFonts w:asciiTheme="minorEastAsia" w:eastAsiaTheme="minorEastAsia" w:hAnsiTheme="minorEastAsia"/>
          <w:sz w:val="20"/>
          <w:szCs w:val="20"/>
          <w:lang w:eastAsia="ko-KR"/>
        </w:rPr>
      </w:pPr>
    </w:p>
    <w:p w14:paraId="75761E07" w14:textId="77777777" w:rsidR="00744E39" w:rsidRPr="002C7F14" w:rsidRDefault="00744E39" w:rsidP="00650819">
      <w:pPr>
        <w:pStyle w:val="a8"/>
        <w:numPr>
          <w:ilvl w:val="0"/>
          <w:numId w:val="80"/>
        </w:numPr>
        <w:tabs>
          <w:tab w:val="left" w:pos="851"/>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시험물질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제품과</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표준시료를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제곱센티미터당</w:t>
      </w:r>
      <w:r w:rsidRPr="002C7F14">
        <w:rPr>
          <w:rFonts w:asciiTheme="minorEastAsia" w:eastAsiaTheme="minorEastAsia" w:hAnsiTheme="minorEastAsia"/>
          <w:sz w:val="20"/>
          <w:szCs w:val="20"/>
          <w:lang w:eastAsia="ko-KR"/>
        </w:rPr>
        <w:t xml:space="preserve"> 2 </w:t>
      </w:r>
      <w:r w:rsidRPr="002C7F14">
        <w:rPr>
          <w:rFonts w:asciiTheme="minorEastAsia" w:eastAsiaTheme="minorEastAsia" w:hAnsiTheme="minorEastAsia" w:hint="eastAsia"/>
          <w:sz w:val="20"/>
          <w:szCs w:val="20"/>
          <w:lang w:eastAsia="ko-KR"/>
        </w:rPr>
        <w:t>밀리그램</w:t>
      </w:r>
      <w:r w:rsidRPr="002C7F14">
        <w:rPr>
          <w:rFonts w:asciiTheme="minorEastAsia" w:eastAsiaTheme="minorEastAsia" w:hAnsiTheme="minorEastAsia"/>
          <w:sz w:val="20"/>
          <w:szCs w:val="20"/>
          <w:lang w:eastAsia="ko-KR"/>
        </w:rPr>
        <w:t>(mg/cm</w:t>
      </w:r>
      <w:r w:rsidRPr="002C7F14">
        <w:rPr>
          <w:rFonts w:asciiTheme="minorEastAsia" w:eastAsiaTheme="minorEastAsia" w:hAnsiTheme="minorEastAsia"/>
          <w:sz w:val="20"/>
          <w:szCs w:val="20"/>
          <w:vertAlign w:val="superscript"/>
          <w:lang w:eastAsia="ko-KR"/>
        </w:rPr>
        <w:t>2</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가능한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고르게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바르기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호환되는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지골무를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사용한다</w:t>
      </w:r>
      <w:r w:rsidRPr="002C7F14">
        <w:rPr>
          <w:rFonts w:asciiTheme="minorEastAsia" w:eastAsiaTheme="minorEastAsia" w:hAnsiTheme="minorEastAsia"/>
          <w:sz w:val="20"/>
          <w:szCs w:val="20"/>
          <w:lang w:eastAsia="ko-KR"/>
        </w:rPr>
        <w:t>.</w:t>
      </w:r>
    </w:p>
    <w:p w14:paraId="4F6AF345" w14:textId="77777777" w:rsidR="00744E39" w:rsidRPr="002C7F14" w:rsidRDefault="00744E39" w:rsidP="00312238">
      <w:pPr>
        <w:pStyle w:val="a9"/>
        <w:tabs>
          <w:tab w:val="left" w:pos="851"/>
        </w:tabs>
        <w:ind w:leftChars="193" w:left="425"/>
        <w:jc w:val="both"/>
        <w:rPr>
          <w:rFonts w:asciiTheme="minorEastAsia" w:eastAsiaTheme="minorEastAsia" w:hAnsiTheme="minorEastAsia"/>
          <w:sz w:val="20"/>
          <w:szCs w:val="20"/>
          <w:lang w:eastAsia="ko-KR"/>
        </w:rPr>
      </w:pPr>
    </w:p>
    <w:p w14:paraId="55037A4D" w14:textId="77777777" w:rsidR="00744E39" w:rsidRPr="002C7F14" w:rsidRDefault="00744E39" w:rsidP="00650819">
      <w:pPr>
        <w:pStyle w:val="a8"/>
        <w:numPr>
          <w:ilvl w:val="0"/>
          <w:numId w:val="80"/>
        </w:numPr>
        <w:tabs>
          <w:tab w:val="left" w:pos="851"/>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대기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w:t>
      </w:r>
      <w:r w:rsidRPr="002C7F14">
        <w:rPr>
          <w:rFonts w:asciiTheme="minorEastAsia" w:eastAsiaTheme="minorEastAsia" w:hAnsiTheme="minorEastAsia"/>
          <w:sz w:val="20"/>
          <w:szCs w:val="20"/>
          <w:lang w:eastAsia="ko-KR"/>
        </w:rPr>
        <w:t xml:space="preserve"> M020.80(f)</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설명된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부위를</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노출시키기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15</w:t>
      </w:r>
      <w:r w:rsidRPr="002C7F14">
        <w:rPr>
          <w:rFonts w:asciiTheme="minorEastAsia" w:eastAsiaTheme="minorEastAsia" w:hAnsiTheme="minorEastAsia" w:hint="eastAsia"/>
          <w:sz w:val="20"/>
          <w:szCs w:val="20"/>
          <w:lang w:eastAsia="ko-KR"/>
        </w:rPr>
        <w:t>분을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기다린다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내수성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15</w:t>
      </w:r>
      <w:r w:rsidRPr="002C7F14">
        <w:rPr>
          <w:rFonts w:asciiTheme="minorEastAsia" w:eastAsiaTheme="minorEastAsia" w:hAnsiTheme="minorEastAsia" w:hint="eastAsia"/>
          <w:sz w:val="20"/>
          <w:szCs w:val="20"/>
          <w:lang w:eastAsia="ko-KR"/>
        </w:rPr>
        <w:t>분을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기다린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w:t>
      </w:r>
      <w:r w:rsidRPr="002C7F14">
        <w:rPr>
          <w:rFonts w:asciiTheme="minorEastAsia" w:eastAsiaTheme="minorEastAsia" w:hAnsiTheme="minorEastAsia"/>
          <w:sz w:val="20"/>
          <w:szCs w:val="20"/>
          <w:lang w:eastAsia="ko-KR"/>
        </w:rPr>
        <w:t xml:space="preserve"> M020.80(h)</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설명된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내수성</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절차를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진행한다</w:t>
      </w:r>
      <w:r w:rsidRPr="002C7F14">
        <w:rPr>
          <w:rFonts w:asciiTheme="minorEastAsia" w:eastAsiaTheme="minorEastAsia" w:hAnsiTheme="minorEastAsia"/>
          <w:sz w:val="20"/>
          <w:szCs w:val="20"/>
          <w:lang w:eastAsia="ko-KR"/>
        </w:rPr>
        <w:t>.</w:t>
      </w:r>
    </w:p>
    <w:p w14:paraId="0177CCD2"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1860D2C5" w14:textId="6BF93687" w:rsidR="0063516C" w:rsidRPr="002C7F14" w:rsidRDefault="00744E39" w:rsidP="00312238">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UV </w:t>
      </w:r>
      <w:r w:rsidRPr="002C7F14">
        <w:rPr>
          <w:rFonts w:asciiTheme="minorEastAsia" w:eastAsiaTheme="minorEastAsia" w:hAnsiTheme="minorEastAsia" w:cs="맑은 고딕" w:hint="eastAsia"/>
          <w:sz w:val="20"/>
          <w:szCs w:val="20"/>
          <w:lang w:eastAsia="ko-KR"/>
        </w:rPr>
        <w:t>노출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판독</w:t>
      </w:r>
    </w:p>
    <w:p w14:paraId="65DFA183" w14:textId="77777777" w:rsidR="00744E39" w:rsidRPr="002C7F14" w:rsidRDefault="00744E39" w:rsidP="00650819">
      <w:pPr>
        <w:pStyle w:val="a8"/>
        <w:numPr>
          <w:ilvl w:val="0"/>
          <w:numId w:val="81"/>
        </w:numPr>
        <w:tabs>
          <w:tab w:val="left" w:pos="851"/>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최소홍반량</w:t>
      </w:r>
      <w:r w:rsidRPr="002C7F14">
        <w:rPr>
          <w:rFonts w:asciiTheme="minorEastAsia" w:eastAsiaTheme="minorEastAsia" w:hAnsiTheme="minorEastAsia"/>
          <w:sz w:val="20"/>
          <w:szCs w:val="20"/>
          <w:lang w:eastAsia="ko-KR"/>
        </w:rPr>
        <w:t xml:space="preserve">(MED) </w:t>
      </w:r>
      <w:r w:rsidRPr="002C7F14">
        <w:rPr>
          <w:rFonts w:asciiTheme="minorEastAsia" w:eastAsiaTheme="minorEastAsia" w:hAnsiTheme="minorEastAsia" w:hint="eastAsia"/>
          <w:sz w:val="20"/>
          <w:szCs w:val="20"/>
          <w:lang w:eastAsia="ko-KR"/>
        </w:rPr>
        <w:t>정의</w:t>
      </w:r>
      <w:r w:rsidRPr="002C7F14">
        <w:rPr>
          <w:rFonts w:asciiTheme="minorEastAsia" w:eastAsiaTheme="minorEastAsia" w:hAnsiTheme="minorEastAsia"/>
          <w:sz w:val="20"/>
          <w:szCs w:val="20"/>
          <w:lang w:eastAsia="ko-KR"/>
        </w:rPr>
        <w:t xml:space="preserve">. OTC </w:t>
      </w:r>
      <w:r w:rsidRPr="002C7F14">
        <w:rPr>
          <w:rFonts w:asciiTheme="minorEastAsia" w:eastAsiaTheme="minorEastAsia" w:hAnsiTheme="minorEastAsia" w:hint="eastAsia"/>
          <w:sz w:val="20"/>
          <w:szCs w:val="20"/>
          <w:lang w:eastAsia="ko-KR"/>
        </w:rPr>
        <w:t>모노그래프</w:t>
      </w:r>
      <w:r w:rsidRPr="002C7F14">
        <w:rPr>
          <w:rFonts w:asciiTheme="minorEastAsia" w:eastAsiaTheme="minorEastAsia" w:hAnsiTheme="minorEastAsia"/>
          <w:sz w:val="20"/>
          <w:szCs w:val="20"/>
          <w:lang w:eastAsia="ko-KR"/>
        </w:rPr>
        <w:t xml:space="preserve"> M020</w:t>
      </w:r>
      <w:r w:rsidRPr="002C7F14">
        <w:rPr>
          <w:rFonts w:asciiTheme="minorEastAsia" w:eastAsiaTheme="minorEastAsia" w:hAnsiTheme="minorEastAsia" w:hint="eastAsia"/>
          <w:sz w:val="20"/>
          <w:szCs w:val="20"/>
          <w:lang w:eastAsia="ko-KR"/>
        </w:rPr>
        <w:t>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목적상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다음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용어를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정의한다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최소홍반량</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hint="eastAsia"/>
          <w:sz w:val="20"/>
          <w:szCs w:val="20"/>
          <w:lang w:eastAsia="ko-KR"/>
        </w:rPr>
        <w:t>는</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노출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16~24</w:t>
      </w:r>
      <w:r w:rsidRPr="002C7F14">
        <w:rPr>
          <w:rFonts w:asciiTheme="minorEastAsia" w:eastAsiaTheme="minorEastAsia" w:hAnsiTheme="minorEastAsia" w:hint="eastAsia"/>
          <w:sz w:val="20"/>
          <w:szCs w:val="20"/>
          <w:lang w:eastAsia="ko-KR"/>
        </w:rPr>
        <w:t>시간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사이에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경계가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명확하게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정의된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눈에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띄는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발적</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홍반</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유발하는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조사량</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홍반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유효</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에너지량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제곱미터당</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줄로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표시함</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이다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피부의</w:t>
      </w:r>
      <w:r w:rsidRPr="002C7F14">
        <w:rPr>
          <w:rFonts w:asciiTheme="minorEastAsia" w:eastAsiaTheme="minorEastAsia" w:hAnsiTheme="minorEastAsia"/>
          <w:sz w:val="20"/>
          <w:szCs w:val="20"/>
          <w:lang w:eastAsia="ko-KR"/>
        </w:rPr>
        <w:t xml:space="preserve"> MED(MED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피부의</w:t>
      </w:r>
      <w:r w:rsidRPr="002C7F14">
        <w:rPr>
          <w:rFonts w:asciiTheme="minorEastAsia" w:eastAsiaTheme="minorEastAsia" w:hAnsiTheme="minorEastAsia"/>
          <w:sz w:val="20"/>
          <w:szCs w:val="20"/>
          <w:lang w:eastAsia="ko-KR"/>
        </w:rPr>
        <w:t xml:space="preserve"> MED(MED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 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hint="eastAsia"/>
          <w:sz w:val="20"/>
          <w:szCs w:val="20"/>
          <w:lang w:eastAsia="ko-KR"/>
        </w:rPr>
        <w:t>는</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표준시료</w:t>
      </w:r>
      <w:r w:rsidRPr="002C7F14">
        <w:rPr>
          <w:rFonts w:asciiTheme="minorEastAsia" w:eastAsiaTheme="minorEastAsia" w:hAnsiTheme="minorEastAsia"/>
          <w:sz w:val="20"/>
          <w:szCs w:val="20"/>
          <w:lang w:eastAsia="ko-KR"/>
        </w:rPr>
        <w:t>(ssMED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 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hint="eastAsia"/>
          <w:sz w:val="20"/>
          <w:szCs w:val="20"/>
          <w:lang w:eastAsia="ko-KR"/>
        </w:rPr>
        <w:t>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w:t>
      </w:r>
      <w:r w:rsidRPr="002C7F14">
        <w:rPr>
          <w:rFonts w:asciiTheme="minorEastAsia" w:eastAsiaTheme="minorEastAsia" w:hAnsiTheme="minorEastAsia"/>
          <w:sz w:val="20"/>
          <w:szCs w:val="20"/>
          <w:lang w:eastAsia="ko-KR"/>
        </w:rPr>
        <w:t>(tpMED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w:t>
      </w:r>
    </w:p>
    <w:p w14:paraId="4F441A39"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02AECB50" w14:textId="77777777" w:rsidR="00744E39" w:rsidRPr="002C7F14" w:rsidRDefault="00744E39" w:rsidP="00650819">
      <w:pPr>
        <w:pStyle w:val="a8"/>
        <w:numPr>
          <w:ilvl w:val="0"/>
          <w:numId w:val="81"/>
        </w:numPr>
        <w:tabs>
          <w:tab w:val="left" w:pos="851"/>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초기</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위한</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노출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피험자에게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시험하기</w:t>
      </w:r>
      <w:r w:rsidRPr="002C7F14">
        <w:rPr>
          <w:rFonts w:asciiTheme="minorEastAsia" w:eastAsiaTheme="minorEastAsia" w:hAnsiTheme="minorEastAsia"/>
          <w:sz w:val="20"/>
          <w:szCs w:val="20"/>
          <w:lang w:eastAsia="ko-KR"/>
        </w:rPr>
        <w:t xml:space="preserve"> 1</w:t>
      </w:r>
      <w:r w:rsidRPr="002C7F14">
        <w:rPr>
          <w:rFonts w:asciiTheme="minorEastAsia" w:eastAsiaTheme="minorEastAsia" w:hAnsiTheme="minorEastAsia" w:hint="eastAsia"/>
          <w:sz w:val="20"/>
          <w:szCs w:val="20"/>
          <w:lang w:eastAsia="ko-KR"/>
        </w:rPr>
        <w:t>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전까지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정확하게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교정된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태양광</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시뮬레이터를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사용하여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w:t>
      </w:r>
      <w:r w:rsidRPr="002C7F14">
        <w:rPr>
          <w:rFonts w:asciiTheme="minorEastAsia" w:eastAsiaTheme="minorEastAsia" w:hAnsiTheme="minorEastAsia"/>
          <w:sz w:val="20"/>
          <w:szCs w:val="20"/>
          <w:lang w:eastAsia="ko-KR"/>
        </w:rPr>
        <w:t xml:space="preserve"> M020.80(b)(2)(ii)</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따라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일련의</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방사선량</w:t>
      </w:r>
      <w:r w:rsidRPr="002C7F14">
        <w:rPr>
          <w:rFonts w:asciiTheme="minorEastAsia" w:eastAsiaTheme="minorEastAsia" w:hAnsiTheme="minorEastAsia"/>
          <w:sz w:val="20"/>
          <w:szCs w:val="20"/>
          <w:lang w:eastAsia="ko-KR"/>
        </w:rPr>
        <w:t>(J/m</w:t>
      </w:r>
      <w:r w:rsidRPr="002C7F14">
        <w:rPr>
          <w:rFonts w:asciiTheme="minorEastAsia" w:eastAsiaTheme="minorEastAsia" w:hAnsiTheme="minorEastAsia"/>
          <w:sz w:val="20"/>
          <w:szCs w:val="20"/>
          <w:vertAlign w:val="superscript"/>
          <w:lang w:eastAsia="ko-KR"/>
        </w:rPr>
        <w:t>2</w:t>
      </w:r>
      <w:r w:rsidRPr="002C7F14">
        <w:rPr>
          <w:rFonts w:asciiTheme="minorEastAsia" w:eastAsiaTheme="minorEastAsia" w:hAnsiTheme="minorEastAsia"/>
          <w:sz w:val="20"/>
          <w:szCs w:val="20"/>
          <w:lang w:eastAsia="ko-KR"/>
        </w:rPr>
        <w:t>-eff</w:t>
      </w:r>
      <w:r w:rsidRPr="002C7F14">
        <w:rPr>
          <w:rFonts w:asciiTheme="minorEastAsia" w:eastAsiaTheme="minorEastAsia" w:hAnsiTheme="minorEastAsia" w:hint="eastAsia"/>
          <w:sz w:val="20"/>
          <w:szCs w:val="20"/>
          <w:lang w:eastAsia="ko-KR"/>
        </w:rPr>
        <w:t>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표시함</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조사하여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초기</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 1.25</w:t>
      </w:r>
      <w:r w:rsidRPr="002C7F14">
        <w:rPr>
          <w:rFonts w:asciiTheme="minorEastAsia" w:eastAsiaTheme="minorEastAsia" w:hAnsiTheme="minorEastAsia"/>
          <w:sz w:val="20"/>
          <w:szCs w:val="20"/>
          <w:vertAlign w:val="superscript"/>
          <w:lang w:eastAsia="ko-KR"/>
        </w:rPr>
        <w:t>n</w:t>
      </w:r>
      <w:r w:rsidRPr="002C7F14">
        <w:rPr>
          <w:rFonts w:asciiTheme="minorEastAsia" w:eastAsiaTheme="minorEastAsia" w:hAnsiTheme="minorEastAsia" w:hint="eastAsia"/>
          <w:sz w:val="20"/>
          <w:szCs w:val="20"/>
          <w:lang w:eastAsia="ko-KR"/>
        </w:rPr>
        <w:t>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표시되는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등비급수</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선량보다</w:t>
      </w:r>
      <w:r w:rsidRPr="002C7F14">
        <w:rPr>
          <w:rFonts w:asciiTheme="minorEastAsia" w:eastAsiaTheme="minorEastAsia" w:hAnsiTheme="minorEastAsia"/>
          <w:sz w:val="20"/>
          <w:szCs w:val="20"/>
          <w:lang w:eastAsia="ko-KR"/>
        </w:rPr>
        <w:t xml:space="preserve"> 25% </w:t>
      </w:r>
      <w:r w:rsidRPr="002C7F14">
        <w:rPr>
          <w:rFonts w:asciiTheme="minorEastAsia" w:eastAsiaTheme="minorEastAsia" w:hAnsiTheme="minorEastAsia" w:hint="eastAsia"/>
          <w:sz w:val="20"/>
          <w:szCs w:val="20"/>
          <w:lang w:eastAsia="ko-KR"/>
        </w:rPr>
        <w:t>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큼</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선택한다</w:t>
      </w:r>
      <w:r w:rsidRPr="002C7F14">
        <w:rPr>
          <w:rFonts w:asciiTheme="minorEastAsia" w:eastAsiaTheme="minorEastAsia" w:hAnsiTheme="minorEastAsia"/>
          <w:sz w:val="20"/>
          <w:szCs w:val="20"/>
          <w:lang w:eastAsia="ko-KR"/>
        </w:rPr>
        <w:t>.</w:t>
      </w:r>
    </w:p>
    <w:p w14:paraId="06BA5DEF"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36B25133" w14:textId="77777777" w:rsidR="00744E39" w:rsidRPr="002C7F14" w:rsidRDefault="00744E39" w:rsidP="00650819">
      <w:pPr>
        <w:pStyle w:val="a8"/>
        <w:numPr>
          <w:ilvl w:val="0"/>
          <w:numId w:val="81"/>
        </w:numPr>
        <w:tabs>
          <w:tab w:val="left" w:pos="993"/>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최종</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ss</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tp</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위한</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노출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적절한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일련의</w:t>
      </w:r>
      <w:r w:rsidRPr="002C7F14">
        <w:rPr>
          <w:rFonts w:asciiTheme="minorEastAsia" w:eastAsiaTheme="minorEastAsia" w:hAnsiTheme="minorEastAsia"/>
          <w:sz w:val="20"/>
          <w:szCs w:val="20"/>
          <w:lang w:eastAsia="ko-KR"/>
        </w:rPr>
        <w:t xml:space="preserve"> 5</w:t>
      </w:r>
      <w:r w:rsidRPr="002C7F14">
        <w:rPr>
          <w:rFonts w:asciiTheme="minorEastAsia" w:eastAsiaTheme="minorEastAsia" w:hAnsiTheme="minorEastAsia" w:hint="eastAsia"/>
          <w:sz w:val="20"/>
          <w:szCs w:val="20"/>
          <w:lang w:eastAsia="ko-KR"/>
        </w:rPr>
        <w:t>가지</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적용하여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최종</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ss</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tp</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이러한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시리즈의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중간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w:t>
      </w:r>
      <w:r w:rsidRPr="002C7F14">
        <w:rPr>
          <w:rFonts w:asciiTheme="minorEastAsia" w:eastAsiaTheme="minorEastAsia" w:hAnsiTheme="minorEastAsia"/>
          <w:sz w:val="20"/>
          <w:szCs w:val="20"/>
          <w:lang w:eastAsia="ko-KR"/>
        </w:rPr>
        <w:t>(X)(</w:t>
      </w:r>
      <w:r w:rsidRPr="002C7F14">
        <w:rPr>
          <w:rFonts w:asciiTheme="minorEastAsia" w:eastAsiaTheme="minorEastAsia" w:hAnsiTheme="minorEastAsia" w:hint="eastAsia"/>
          <w:sz w:val="20"/>
          <w:szCs w:val="20"/>
          <w:lang w:eastAsia="ko-KR"/>
        </w:rPr>
        <w:t>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번째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초기</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예상</w:t>
      </w:r>
      <w:r w:rsidRPr="002C7F14">
        <w:rPr>
          <w:rFonts w:asciiTheme="minorEastAsia" w:eastAsiaTheme="minorEastAsia" w:hAnsiTheme="minorEastAsia"/>
          <w:sz w:val="20"/>
          <w:szCs w:val="20"/>
          <w:lang w:eastAsia="ko-KR"/>
        </w:rPr>
        <w:t xml:space="preserve"> SPF</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곱한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값과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같아야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예상</w:t>
      </w:r>
      <w:r w:rsidRPr="002C7F14">
        <w:rPr>
          <w:rFonts w:asciiTheme="minorEastAsia" w:eastAsiaTheme="minorEastAsia" w:hAnsiTheme="minorEastAsia"/>
          <w:sz w:val="20"/>
          <w:szCs w:val="20"/>
          <w:lang w:eastAsia="ko-KR"/>
        </w:rPr>
        <w:t xml:space="preserve"> SPF</w:t>
      </w:r>
      <w:r w:rsidRPr="002C7F14">
        <w:rPr>
          <w:rFonts w:asciiTheme="minorEastAsia" w:eastAsiaTheme="minorEastAsia" w:hAnsiTheme="minorEastAsia" w:hint="eastAsia"/>
          <w:sz w:val="20"/>
          <w:szCs w:val="20"/>
          <w:lang w:eastAsia="ko-KR"/>
        </w:rPr>
        <w:t>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최종</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ss</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각각</w:t>
      </w:r>
      <w:r w:rsidRPr="002C7F14">
        <w:rPr>
          <w:rFonts w:asciiTheme="minorEastAsia" w:eastAsiaTheme="minorEastAsia" w:hAnsiTheme="minorEastAsia"/>
          <w:sz w:val="20"/>
          <w:szCs w:val="20"/>
          <w:lang w:eastAsia="ko-KR"/>
        </w:rPr>
        <w:t xml:space="preserve"> 1</w:t>
      </w:r>
      <w:r w:rsidRPr="002C7F14">
        <w:rPr>
          <w:rFonts w:asciiTheme="minorEastAsia" w:eastAsiaTheme="minorEastAsia" w:hAnsiTheme="minorEastAsia" w:hint="eastAsia"/>
          <w:sz w:val="20"/>
          <w:szCs w:val="20"/>
          <w:lang w:eastAsia="ko-KR"/>
        </w:rPr>
        <w:t>과</w:t>
      </w:r>
      <w:r w:rsidRPr="002C7F14">
        <w:rPr>
          <w:rFonts w:asciiTheme="minorEastAsia" w:eastAsiaTheme="minorEastAsia" w:hAnsiTheme="minorEastAsia"/>
          <w:sz w:val="20"/>
          <w:szCs w:val="20"/>
          <w:lang w:eastAsia="ko-KR"/>
        </w:rPr>
        <w:t xml:space="preserve"> 16.3</w:t>
      </w:r>
      <w:r w:rsidRPr="002C7F14">
        <w:rPr>
          <w:rFonts w:asciiTheme="minorEastAsia" w:eastAsiaTheme="minorEastAsia" w:hAnsiTheme="minorEastAsia" w:hint="eastAsia"/>
          <w:sz w:val="20"/>
          <w:szCs w:val="20"/>
          <w:lang w:eastAsia="ko-KR"/>
        </w:rPr>
        <w:t>이다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시리즈의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나머지</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예상</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값에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따라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달라진다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예상</w:t>
      </w:r>
      <w:r w:rsidRPr="002C7F14">
        <w:rPr>
          <w:rFonts w:asciiTheme="minorEastAsia" w:eastAsiaTheme="minorEastAsia" w:hAnsiTheme="minorEastAsia"/>
          <w:sz w:val="20"/>
          <w:szCs w:val="20"/>
          <w:lang w:eastAsia="ko-KR"/>
        </w:rPr>
        <w:t xml:space="preserve"> SPF</w:t>
      </w:r>
      <w:r w:rsidRPr="002C7F14">
        <w:rPr>
          <w:rFonts w:asciiTheme="minorEastAsia" w:eastAsiaTheme="minorEastAsia" w:hAnsiTheme="minorEastAsia" w:hint="eastAsia"/>
          <w:sz w:val="20"/>
          <w:szCs w:val="20"/>
          <w:lang w:eastAsia="ko-KR"/>
        </w:rPr>
        <w:t>가</w:t>
      </w:r>
      <w:r w:rsidRPr="002C7F14">
        <w:rPr>
          <w:rFonts w:asciiTheme="minorEastAsia" w:eastAsiaTheme="minorEastAsia" w:hAnsiTheme="minorEastAsia"/>
          <w:sz w:val="20"/>
          <w:szCs w:val="20"/>
          <w:lang w:eastAsia="ko-KR"/>
        </w:rPr>
        <w:t xml:space="preserve"> 8 </w:t>
      </w:r>
      <w:r w:rsidRPr="002C7F14">
        <w:rPr>
          <w:rFonts w:asciiTheme="minorEastAsia" w:eastAsiaTheme="minorEastAsia" w:hAnsiTheme="minorEastAsia" w:hint="eastAsia"/>
          <w:sz w:val="20"/>
          <w:szCs w:val="20"/>
          <w:lang w:eastAsia="ko-KR"/>
        </w:rPr>
        <w:t>미만인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연속되는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선량마다</w:t>
      </w:r>
      <w:r w:rsidRPr="002C7F14">
        <w:rPr>
          <w:rFonts w:asciiTheme="minorEastAsia" w:eastAsiaTheme="minorEastAsia" w:hAnsiTheme="minorEastAsia"/>
          <w:sz w:val="20"/>
          <w:szCs w:val="20"/>
          <w:lang w:eastAsia="ko-KR"/>
        </w:rPr>
        <w:t xml:space="preserve"> 25%</w:t>
      </w:r>
      <w:r w:rsidRPr="002C7F14">
        <w:rPr>
          <w:rFonts w:asciiTheme="minorEastAsia" w:eastAsiaTheme="minorEastAsia" w:hAnsiTheme="minorEastAsia" w:hint="eastAsia"/>
          <w:sz w:val="20"/>
          <w:szCs w:val="20"/>
          <w:lang w:eastAsia="ko-KR"/>
        </w:rPr>
        <w:t>씩</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증가한</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즉</w:t>
      </w:r>
      <w:r w:rsidRPr="002C7F14">
        <w:rPr>
          <w:rFonts w:asciiTheme="minorEastAsia" w:eastAsiaTheme="minorEastAsia" w:hAnsiTheme="minorEastAsia"/>
          <w:sz w:val="20"/>
          <w:szCs w:val="20"/>
          <w:lang w:eastAsia="ko-KR"/>
        </w:rPr>
        <w:t xml:space="preserve">, 0.64X, 0.80X, 1.00X, 1.25X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1.56X). </w:t>
      </w:r>
      <w:r w:rsidRPr="002C7F14">
        <w:rPr>
          <w:rFonts w:asciiTheme="minorEastAsia" w:eastAsiaTheme="minorEastAsia" w:hAnsiTheme="minorEastAsia" w:hint="eastAsia"/>
          <w:sz w:val="20"/>
          <w:szCs w:val="20"/>
          <w:lang w:eastAsia="ko-KR"/>
        </w:rPr>
        <w:t>예상</w:t>
      </w:r>
      <w:r w:rsidRPr="002C7F14">
        <w:rPr>
          <w:rFonts w:asciiTheme="minorEastAsia" w:eastAsiaTheme="minorEastAsia" w:hAnsiTheme="minorEastAsia"/>
          <w:sz w:val="20"/>
          <w:szCs w:val="20"/>
          <w:lang w:eastAsia="ko-KR"/>
        </w:rPr>
        <w:t xml:space="preserve"> SPF</w:t>
      </w:r>
      <w:r w:rsidRPr="002C7F14">
        <w:rPr>
          <w:rFonts w:asciiTheme="minorEastAsia" w:eastAsiaTheme="minorEastAsia" w:hAnsiTheme="minorEastAsia" w:hint="eastAsia"/>
          <w:sz w:val="20"/>
          <w:szCs w:val="20"/>
          <w:lang w:eastAsia="ko-KR"/>
        </w:rPr>
        <w:t>가</w:t>
      </w:r>
      <w:r w:rsidRPr="002C7F14">
        <w:rPr>
          <w:rFonts w:asciiTheme="minorEastAsia" w:eastAsiaTheme="minorEastAsia" w:hAnsiTheme="minorEastAsia"/>
          <w:sz w:val="20"/>
          <w:szCs w:val="20"/>
          <w:lang w:eastAsia="ko-KR"/>
        </w:rPr>
        <w:t xml:space="preserve"> 8~15</w:t>
      </w:r>
      <w:r w:rsidRPr="002C7F14">
        <w:rPr>
          <w:rFonts w:asciiTheme="minorEastAsia" w:eastAsiaTheme="minorEastAsia" w:hAnsiTheme="minorEastAsia" w:hint="eastAsia"/>
          <w:sz w:val="20"/>
          <w:szCs w:val="20"/>
          <w:lang w:eastAsia="ko-KR"/>
        </w:rPr>
        <w:t>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연속되는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선량마다</w:t>
      </w:r>
      <w:r w:rsidRPr="002C7F14">
        <w:rPr>
          <w:rFonts w:asciiTheme="minorEastAsia" w:eastAsiaTheme="minorEastAsia" w:hAnsiTheme="minorEastAsia"/>
          <w:sz w:val="20"/>
          <w:szCs w:val="20"/>
          <w:lang w:eastAsia="ko-KR"/>
        </w:rPr>
        <w:t xml:space="preserve"> 20%</w:t>
      </w:r>
      <w:r w:rsidRPr="002C7F14">
        <w:rPr>
          <w:rFonts w:asciiTheme="minorEastAsia" w:eastAsiaTheme="minorEastAsia" w:hAnsiTheme="minorEastAsia" w:hint="eastAsia"/>
          <w:sz w:val="20"/>
          <w:szCs w:val="20"/>
          <w:lang w:eastAsia="ko-KR"/>
        </w:rPr>
        <w:t>씩</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증가한</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예</w:t>
      </w:r>
      <w:r w:rsidRPr="002C7F14">
        <w:rPr>
          <w:rFonts w:asciiTheme="minorEastAsia" w:eastAsiaTheme="minorEastAsia" w:hAnsiTheme="minorEastAsia"/>
          <w:sz w:val="20"/>
          <w:szCs w:val="20"/>
          <w:lang w:eastAsia="ko-KR"/>
        </w:rPr>
        <w:t xml:space="preserve">: 0.69X, 0.83X, 1.00X, 1.20X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1.44X). </w:t>
      </w:r>
      <w:r w:rsidRPr="002C7F14">
        <w:rPr>
          <w:rFonts w:asciiTheme="minorEastAsia" w:eastAsiaTheme="minorEastAsia" w:hAnsiTheme="minorEastAsia" w:hint="eastAsia"/>
          <w:sz w:val="20"/>
          <w:szCs w:val="20"/>
          <w:lang w:eastAsia="ko-KR"/>
        </w:rPr>
        <w:t>예상</w:t>
      </w:r>
      <w:r w:rsidRPr="002C7F14">
        <w:rPr>
          <w:rFonts w:asciiTheme="minorEastAsia" w:eastAsiaTheme="minorEastAsia" w:hAnsiTheme="minorEastAsia"/>
          <w:sz w:val="20"/>
          <w:szCs w:val="20"/>
          <w:lang w:eastAsia="ko-KR"/>
        </w:rPr>
        <w:t xml:space="preserve"> SPF</w:t>
      </w:r>
      <w:r w:rsidRPr="002C7F14">
        <w:rPr>
          <w:rFonts w:asciiTheme="minorEastAsia" w:eastAsiaTheme="minorEastAsia" w:hAnsiTheme="minorEastAsia" w:hint="eastAsia"/>
          <w:sz w:val="20"/>
          <w:szCs w:val="20"/>
          <w:lang w:eastAsia="ko-KR"/>
        </w:rPr>
        <w:t>가</w:t>
      </w:r>
      <w:r w:rsidRPr="002C7F14">
        <w:rPr>
          <w:rFonts w:asciiTheme="minorEastAsia" w:eastAsiaTheme="minorEastAsia" w:hAnsiTheme="minorEastAsia"/>
          <w:sz w:val="20"/>
          <w:szCs w:val="20"/>
          <w:lang w:eastAsia="ko-KR"/>
        </w:rPr>
        <w:t xml:space="preserve"> 15</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초과하는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제품의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연속되는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선량마다</w:t>
      </w:r>
      <w:r w:rsidRPr="002C7F14">
        <w:rPr>
          <w:rFonts w:asciiTheme="minorEastAsia" w:eastAsiaTheme="minorEastAsia" w:hAnsiTheme="minorEastAsia"/>
          <w:sz w:val="20"/>
          <w:szCs w:val="20"/>
          <w:lang w:eastAsia="ko-KR"/>
        </w:rPr>
        <w:t xml:space="preserve"> 15%</w:t>
      </w:r>
      <w:r w:rsidRPr="002C7F14">
        <w:rPr>
          <w:rFonts w:asciiTheme="minorEastAsia" w:eastAsiaTheme="minorEastAsia" w:hAnsiTheme="minorEastAsia" w:hint="eastAsia"/>
          <w:sz w:val="20"/>
          <w:szCs w:val="20"/>
          <w:lang w:eastAsia="ko-KR"/>
        </w:rPr>
        <w:t>씩</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증가한</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적용한다</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예</w:t>
      </w:r>
      <w:r w:rsidRPr="002C7F14">
        <w:rPr>
          <w:rFonts w:asciiTheme="minorEastAsia" w:eastAsiaTheme="minorEastAsia" w:hAnsiTheme="minorEastAsia"/>
          <w:sz w:val="20"/>
          <w:szCs w:val="20"/>
          <w:lang w:eastAsia="ko-KR"/>
        </w:rPr>
        <w:t xml:space="preserve">: 0.76X, 0.87X, 1.00X, 1.15X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1.32X).</w:t>
      </w:r>
    </w:p>
    <w:p w14:paraId="71E1E4E9"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0EE960A2" w14:textId="4497B45D" w:rsidR="0063516C" w:rsidRPr="002C7F14" w:rsidRDefault="00744E39" w:rsidP="00650819">
      <w:pPr>
        <w:pStyle w:val="a8"/>
        <w:numPr>
          <w:ilvl w:val="0"/>
          <w:numId w:val="81"/>
        </w:numPr>
        <w:tabs>
          <w:tab w:val="left" w:pos="993"/>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평가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평가하는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인력이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편향되지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않도록</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평가를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수행하는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인력은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자외선차단제를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적용하거나</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연구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인력과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동일하지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않아야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즉각적인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기록한다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여기에는</w:t>
      </w:r>
      <w:r w:rsidRPr="002C7F14">
        <w:rPr>
          <w:rFonts w:asciiTheme="minorEastAsia" w:eastAsiaTheme="minorEastAsia" w:hAnsiTheme="minorEastAsia"/>
          <w:sz w:val="20"/>
          <w:szCs w:val="20"/>
          <w:lang w:eastAsia="ko-KR"/>
        </w:rPr>
        <w:t xml:space="preserve"> 30~60</w:t>
      </w:r>
      <w:r w:rsidRPr="002C7F14">
        <w:rPr>
          <w:rFonts w:asciiTheme="minorEastAsia" w:eastAsiaTheme="minorEastAsia" w:hAnsiTheme="minorEastAsia" w:hint="eastAsia"/>
          <w:sz w:val="20"/>
          <w:szCs w:val="20"/>
          <w:lang w:eastAsia="ko-KR"/>
        </w:rPr>
        <w:t>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사라지는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일반적으로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회색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보라색을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띠는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즉각적인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흑화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그을림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빠르게</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사라지는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가열로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인한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즉각적인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발적</w:t>
      </w:r>
      <w:r w:rsidRPr="002C7F14">
        <w:rPr>
          <w:rFonts w:asciiTheme="minorEastAsia" w:eastAsiaTheme="minorEastAsia" w:hAnsiTheme="minorEastAsia"/>
          <w:sz w:val="20"/>
          <w:szCs w:val="20"/>
          <w:lang w:eastAsia="ko-KR"/>
        </w:rPr>
        <w:t>, 30~60</w:t>
      </w:r>
      <w:r w:rsidRPr="002C7F14">
        <w:rPr>
          <w:rFonts w:asciiTheme="minorEastAsia" w:eastAsiaTheme="minorEastAsia" w:hAnsiTheme="minorEastAsia" w:hint="eastAsia"/>
          <w:sz w:val="20"/>
          <w:szCs w:val="20"/>
          <w:lang w:eastAsia="ko-KR"/>
        </w:rPr>
        <w:t>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내에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사라지는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즉각적인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전신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포함될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즉각적인</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기록된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피험자는</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hint="eastAsia"/>
          <w:sz w:val="20"/>
          <w:szCs w:val="20"/>
          <w:lang w:eastAsia="ko-KR"/>
        </w:rPr>
        <w:t>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때까지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노출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추가</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보호해야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노출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16~24</w:t>
      </w:r>
      <w:r w:rsidRPr="002C7F14">
        <w:rPr>
          <w:rFonts w:asciiTheme="minorEastAsia" w:eastAsiaTheme="minorEastAsia" w:hAnsiTheme="minorEastAsia" w:hint="eastAsia"/>
          <w:sz w:val="20"/>
          <w:szCs w:val="20"/>
          <w:lang w:eastAsia="ko-KR"/>
        </w:rPr>
        <w:t>시간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최종</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sz w:val="20"/>
          <w:szCs w:val="20"/>
          <w:vertAlign w:val="subscript"/>
          <w:lang w:eastAsia="ko-KR"/>
        </w:rPr>
        <w:t>u</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ss</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및</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sz w:val="20"/>
          <w:szCs w:val="20"/>
          <w:vertAlign w:val="subscript"/>
          <w:lang w:eastAsia="ko-KR"/>
        </w:rPr>
        <w:t>tp</w:t>
      </w:r>
      <w:r w:rsidRPr="002C7F14">
        <w:rPr>
          <w:rFonts w:asciiTheme="minorEastAsia" w:eastAsiaTheme="minorEastAsia" w:hAnsiTheme="minorEastAsia"/>
          <w:sz w:val="20"/>
          <w:szCs w:val="20"/>
          <w:lang w:eastAsia="ko-KR"/>
        </w:rPr>
        <w:t>MED</w:t>
      </w:r>
      <w:r w:rsidRPr="002C7F14">
        <w:rPr>
          <w:rFonts w:asciiTheme="minorEastAsia" w:eastAsiaTheme="minorEastAsia" w:hAnsiTheme="minorEastAsia"/>
          <w:sz w:val="20"/>
          <w:szCs w:val="20"/>
          <w:vertAlign w:val="subscript"/>
          <w:lang w:eastAsia="ko-KR"/>
        </w:rPr>
        <w:t>p</w:t>
      </w:r>
      <w:r w:rsidRPr="002C7F14">
        <w:rPr>
          <w:rFonts w:asciiTheme="minorEastAsia" w:eastAsiaTheme="minorEastAsia" w:hAnsiTheme="minorEastAsia" w:hint="eastAsia"/>
          <w:sz w:val="20"/>
          <w:szCs w:val="20"/>
          <w:lang w:eastAsia="ko-KR"/>
        </w:rPr>
        <w:t>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최소</w:t>
      </w:r>
      <w:r w:rsidRPr="002C7F14">
        <w:rPr>
          <w:rFonts w:asciiTheme="minorEastAsia" w:eastAsiaTheme="minorEastAsia" w:hAnsiTheme="minorEastAsia"/>
          <w:sz w:val="20"/>
          <w:szCs w:val="20"/>
          <w:lang w:eastAsia="ko-KR"/>
        </w:rPr>
        <w:t xml:space="preserve"> 450</w:t>
      </w:r>
      <w:r w:rsidRPr="002C7F14">
        <w:rPr>
          <w:rFonts w:asciiTheme="minorEastAsia" w:eastAsiaTheme="minorEastAsia" w:hAnsiTheme="minorEastAsia" w:hint="eastAsia"/>
          <w:sz w:val="20"/>
          <w:szCs w:val="20"/>
          <w:lang w:eastAsia="ko-KR"/>
        </w:rPr>
        <w:t>룩스의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조도를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제공하는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텅스텐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따뜻한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백색</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형광</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조명을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사용하여</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홍반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평가한다</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평가를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위해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조사되었을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때와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동일한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자세여야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한다</w:t>
      </w:r>
      <w:r w:rsidRPr="002C7F14">
        <w:rPr>
          <w:rFonts w:asciiTheme="minorEastAsia" w:eastAsiaTheme="minorEastAsia" w:hAnsiTheme="minorEastAsia"/>
          <w:sz w:val="20"/>
          <w:szCs w:val="20"/>
          <w:lang w:eastAsia="ko-KR"/>
        </w:rPr>
        <w:t>.</w:t>
      </w:r>
    </w:p>
    <w:p w14:paraId="0AEF36C5" w14:textId="77777777" w:rsidR="00312238" w:rsidRPr="002C7F14" w:rsidRDefault="00312238" w:rsidP="00312238">
      <w:pPr>
        <w:tabs>
          <w:tab w:val="left" w:pos="993"/>
        </w:tabs>
        <w:jc w:val="both"/>
        <w:rPr>
          <w:rFonts w:asciiTheme="minorEastAsia" w:eastAsiaTheme="minorEastAsia" w:hAnsiTheme="minorEastAsia"/>
          <w:sz w:val="20"/>
          <w:szCs w:val="20"/>
          <w:lang w:eastAsia="ko-KR"/>
        </w:rPr>
      </w:pPr>
    </w:p>
    <w:p w14:paraId="57B60E28" w14:textId="77777777" w:rsidR="00744E39" w:rsidRPr="002C7F14" w:rsidRDefault="00744E39" w:rsidP="00650819">
      <w:pPr>
        <w:pStyle w:val="a8"/>
        <w:numPr>
          <w:ilvl w:val="0"/>
          <w:numId w:val="81"/>
        </w:numPr>
        <w:tabs>
          <w:tab w:val="left" w:pos="993"/>
        </w:tabs>
        <w:ind w:leftChars="193" w:left="425" w:firstLine="0"/>
        <w:jc w:val="both"/>
        <w:rPr>
          <w:rFonts w:asciiTheme="minorEastAsia" w:eastAsiaTheme="minorEastAsia" w:hAnsiTheme="minorEastAsia"/>
          <w:sz w:val="20"/>
          <w:szCs w:val="20"/>
          <w:lang w:eastAsia="ko-KR"/>
        </w:rPr>
      </w:pPr>
      <w:r w:rsidRPr="002C7F14">
        <w:rPr>
          <w:rFonts w:asciiTheme="minorEastAsia" w:eastAsiaTheme="minorEastAsia" w:hAnsiTheme="minorEastAsia" w:hint="eastAsia"/>
          <w:sz w:val="20"/>
          <w:szCs w:val="20"/>
          <w:lang w:eastAsia="ko-KR"/>
        </w:rPr>
        <w:t>유효하지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데이터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홍반이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없거나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홍반이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모든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하위부위에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있거나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반응이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조사된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일련의</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선량과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일치하지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않거나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불이행한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예</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질병</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또는</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업무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갈등으로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인해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중단하거나</w:t>
      </w:r>
      <w:r w:rsidRPr="002C7F14">
        <w:rPr>
          <w:rFonts w:asciiTheme="minorEastAsia" w:eastAsiaTheme="minorEastAsia" w:hAnsiTheme="minorEastAsia"/>
          <w:sz w:val="20"/>
          <w:szCs w:val="20"/>
          <w:lang w:eastAsia="ko-KR"/>
        </w:rPr>
        <w:t xml:space="preserve"> MED</w:t>
      </w:r>
      <w:r w:rsidRPr="002C7F14">
        <w:rPr>
          <w:rFonts w:asciiTheme="minorEastAsia" w:eastAsiaTheme="minorEastAsia" w:hAnsiTheme="minorEastAsia" w:hint="eastAsia"/>
          <w:sz w:val="20"/>
          <w:szCs w:val="20"/>
          <w:lang w:eastAsia="ko-KR"/>
        </w:rPr>
        <w:t>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결정될</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때까지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추가</w:t>
      </w:r>
      <w:r w:rsidRPr="002C7F14">
        <w:rPr>
          <w:rFonts w:asciiTheme="minorEastAsia" w:eastAsiaTheme="minorEastAsia" w:hAnsiTheme="minorEastAsia"/>
          <w:sz w:val="20"/>
          <w:szCs w:val="20"/>
          <w:lang w:eastAsia="ko-KR"/>
        </w:rPr>
        <w:t xml:space="preserve"> UV </w:t>
      </w:r>
      <w:r w:rsidRPr="002C7F14">
        <w:rPr>
          <w:rFonts w:asciiTheme="minorEastAsia" w:eastAsiaTheme="minorEastAsia" w:hAnsiTheme="minorEastAsia" w:hint="eastAsia"/>
          <w:sz w:val="20"/>
          <w:szCs w:val="20"/>
          <w:lang w:eastAsia="ko-KR"/>
        </w:rPr>
        <w:t>방사선으로부터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노출된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부위를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보호하지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않은</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경우</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해당</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시험</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데이터를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거부한다</w:t>
      </w:r>
      <w:r w:rsidRPr="002C7F14">
        <w:rPr>
          <w:rFonts w:asciiTheme="minorEastAsia" w:eastAsiaTheme="minorEastAsia" w:hAnsiTheme="minorEastAsia"/>
          <w:sz w:val="20"/>
          <w:szCs w:val="20"/>
          <w:lang w:eastAsia="ko-KR"/>
        </w:rPr>
        <w:t>.</w:t>
      </w:r>
    </w:p>
    <w:p w14:paraId="7E49FB1B"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77332E32" w14:textId="77777777" w:rsidR="00744E39" w:rsidRPr="002C7F14" w:rsidRDefault="00744E39" w:rsidP="004E0CF4">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결정</w:t>
      </w:r>
    </w:p>
    <w:p w14:paraId="018029E1" w14:textId="77777777" w:rsidR="00744E39" w:rsidRPr="002C7F14" w:rsidRDefault="00744E39" w:rsidP="00152AD7">
      <w:pPr>
        <w:pStyle w:val="a9"/>
        <w:jc w:val="both"/>
        <w:rPr>
          <w:rFonts w:asciiTheme="minorEastAsia" w:eastAsiaTheme="minorEastAsia" w:hAnsiTheme="minorEastAsia"/>
          <w:sz w:val="20"/>
          <w:szCs w:val="20"/>
          <w:lang w:eastAsia="ko-KR"/>
        </w:rPr>
      </w:pPr>
    </w:p>
    <w:p w14:paraId="144AEB01" w14:textId="2CD35E01" w:rsidR="0063516C" w:rsidRPr="002C7F14" w:rsidRDefault="00744E39" w:rsidP="00650819">
      <w:pPr>
        <w:pStyle w:val="a8"/>
        <w:numPr>
          <w:ilvl w:val="0"/>
          <w:numId w:val="82"/>
        </w:numPr>
        <w:ind w:leftChars="0" w:left="426" w:hanging="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hint="eastAsia"/>
          <w:sz w:val="20"/>
          <w:szCs w:val="20"/>
          <w:lang w:eastAsia="ko-KR"/>
        </w:rPr>
        <w:t>다음과</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같이</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각</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피험자</w:t>
      </w:r>
      <w:r w:rsidRPr="002C7F14">
        <w:rPr>
          <w:rFonts w:asciiTheme="minorEastAsia" w:eastAsiaTheme="minorEastAsia" w:hAnsiTheme="minorEastAsia"/>
          <w:sz w:val="20"/>
          <w:szCs w:val="20"/>
          <w:lang w:eastAsia="ko-KR"/>
        </w:rPr>
        <w:t>(SPF</w:t>
      </w:r>
      <w:r w:rsidRPr="002C7F14">
        <w:rPr>
          <w:rFonts w:asciiTheme="minorEastAsia" w:eastAsiaTheme="minorEastAsia" w:hAnsiTheme="minorEastAsia"/>
          <w:sz w:val="20"/>
          <w:szCs w:val="20"/>
          <w:vertAlign w:val="subscript"/>
          <w:lang w:eastAsia="ko-KR"/>
        </w:rPr>
        <w:t>i</w:t>
      </w:r>
      <w:r w:rsidRPr="002C7F14">
        <w:rPr>
          <w:rFonts w:asciiTheme="minorEastAsia" w:eastAsiaTheme="minorEastAsia" w:hAnsiTheme="minorEastAsia"/>
          <w:sz w:val="20"/>
          <w:szCs w:val="20"/>
          <w:lang w:eastAsia="ko-KR"/>
        </w:rPr>
        <w:t>)</w:t>
      </w:r>
      <w:r w:rsidRPr="002C7F14">
        <w:rPr>
          <w:rFonts w:asciiTheme="minorEastAsia" w:eastAsiaTheme="minorEastAsia" w:hAnsiTheme="minorEastAsia" w:hint="eastAsia"/>
          <w:sz w:val="20"/>
          <w:szCs w:val="20"/>
          <w:lang w:eastAsia="ko-KR"/>
        </w:rPr>
        <w:t>에</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대한</w:t>
      </w:r>
      <w:r w:rsidRPr="002C7F14">
        <w:rPr>
          <w:rFonts w:asciiTheme="minorEastAsia" w:eastAsiaTheme="minorEastAsia" w:hAnsiTheme="minorEastAsia"/>
          <w:sz w:val="20"/>
          <w:szCs w:val="20"/>
          <w:lang w:eastAsia="ko-KR"/>
        </w:rPr>
        <w:t xml:space="preserve"> SPF </w:t>
      </w:r>
      <w:r w:rsidRPr="002C7F14">
        <w:rPr>
          <w:rFonts w:asciiTheme="minorEastAsia" w:eastAsiaTheme="minorEastAsia" w:hAnsiTheme="minorEastAsia" w:hint="eastAsia"/>
          <w:sz w:val="20"/>
          <w:szCs w:val="20"/>
          <w:lang w:eastAsia="ko-KR"/>
        </w:rPr>
        <w:t>값을</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계산한다</w:t>
      </w:r>
      <w:r w:rsidRPr="002C7F14">
        <w:rPr>
          <w:rFonts w:asciiTheme="minorEastAsia" w:eastAsiaTheme="minorEastAsia" w:hAnsiTheme="minorEastAsia"/>
          <w:sz w:val="20"/>
          <w:szCs w:val="20"/>
          <w:lang w:eastAsia="ko-KR"/>
        </w:rPr>
        <w:t>.</w:t>
      </w:r>
    </w:p>
    <w:p w14:paraId="6A1A64E1" w14:textId="55E8155F" w:rsidR="0063516C" w:rsidRPr="002C7F14" w:rsidRDefault="004E0CF4" w:rsidP="004E0CF4">
      <w:pPr>
        <w:ind w:leftChars="386" w:left="849"/>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4388BD1F" wp14:editId="6FCC1F68">
            <wp:extent cx="1371600" cy="53340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71600" cy="533400"/>
                    </a:xfrm>
                    <a:prstGeom prst="rect">
                      <a:avLst/>
                    </a:prstGeom>
                  </pic:spPr>
                </pic:pic>
              </a:graphicData>
            </a:graphic>
          </wp:inline>
        </w:drawing>
      </w:r>
    </w:p>
    <w:p w14:paraId="4E61CAEF" w14:textId="61E4611B" w:rsidR="0063516C" w:rsidRPr="002C7F14" w:rsidRDefault="004E0CF4" w:rsidP="00650819">
      <w:pPr>
        <w:pStyle w:val="a8"/>
        <w:numPr>
          <w:ilvl w:val="0"/>
          <w:numId w:val="82"/>
        </w:numPr>
        <w:ind w:leftChars="0" w:left="426" w:hanging="26"/>
        <w:jc w:val="both"/>
        <w:rPr>
          <w:rFonts w:asciiTheme="minorEastAsia" w:eastAsiaTheme="minorEastAsia" w:hAnsiTheme="minorEastAsia"/>
          <w:sz w:val="20"/>
          <w:szCs w:val="20"/>
          <w:lang w:eastAsia="ko-KR"/>
        </w:rPr>
      </w:pPr>
      <w:r w:rsidRPr="002C7F14">
        <w:rPr>
          <w:rFonts w:asciiTheme="minorEastAsia" w:eastAsiaTheme="minorEastAsia" w:hAnsiTheme="minorEastAsia"/>
          <w:sz w:val="20"/>
          <w:szCs w:val="20"/>
          <w:lang w:eastAsia="ko-KR"/>
        </w:rPr>
        <w:t>SPF</w:t>
      </w:r>
      <w:r w:rsidRPr="002C7F14">
        <w:rPr>
          <w:rFonts w:asciiTheme="minorEastAsia" w:eastAsiaTheme="minorEastAsia" w:hAnsiTheme="minorEastAsia"/>
          <w:sz w:val="20"/>
          <w:szCs w:val="20"/>
          <w:vertAlign w:val="subscript"/>
          <w:lang w:eastAsia="ko-KR"/>
        </w:rPr>
        <w:t>i</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값에서</w:t>
      </w:r>
      <w:r w:rsidRPr="002C7F14">
        <w:rPr>
          <w:rFonts w:asciiTheme="minorEastAsia" w:eastAsiaTheme="minorEastAsia" w:hAnsiTheme="minorEastAsia"/>
          <w:sz w:val="20"/>
          <w:szCs w:val="20"/>
          <w:lang w:eastAsia="ko-KR"/>
        </w:rPr>
        <w:t xml:space="preserve"> </w:t>
      </w:r>
      <w:r w:rsidRPr="002C7F14">
        <w:rPr>
          <w:rFonts w:asciiTheme="minorEastAsia" w:eastAsiaTheme="minorEastAsia" w:hAnsiTheme="minorEastAsia" w:hint="eastAsia"/>
          <w:sz w:val="20"/>
          <w:szCs w:val="20"/>
          <w:lang w:eastAsia="ko-KR"/>
        </w:rPr>
        <w:t>평균과</w:t>
      </w:r>
    </w:p>
    <w:p w14:paraId="01352185" w14:textId="6E5396C6" w:rsidR="004E0CF4" w:rsidRPr="002C7F14" w:rsidRDefault="004E0CF4" w:rsidP="00EF791F">
      <w:pPr>
        <w:spacing w:line="264" w:lineRule="auto"/>
        <w:jc w:val="both"/>
        <w:rPr>
          <w:rFonts w:asciiTheme="minorEastAsia" w:eastAsiaTheme="minorEastAsia" w:hAnsiTheme="minorEastAsia" w:cs="맑은 고딕"/>
          <w:sz w:val="20"/>
          <w:szCs w:val="20"/>
          <w:lang w:eastAsia="ko-KR"/>
        </w:rPr>
      </w:pPr>
    </w:p>
    <w:p w14:paraId="17CC1142" w14:textId="6965BE59" w:rsidR="004E0CF4" w:rsidRPr="002C7F14" w:rsidRDefault="004E0CF4" w:rsidP="004E0CF4">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7F4457F6" wp14:editId="7BEF6D54">
            <wp:extent cx="895350" cy="238125"/>
            <wp:effectExtent l="0" t="0" r="0" b="9525"/>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95350" cy="238125"/>
                    </a:xfrm>
                    <a:prstGeom prst="rect">
                      <a:avLst/>
                    </a:prstGeom>
                  </pic:spPr>
                </pic:pic>
              </a:graphicData>
            </a:graphic>
          </wp:inline>
        </w:drawing>
      </w:r>
    </w:p>
    <w:p w14:paraId="5806F3D3" w14:textId="6D45C57D" w:rsidR="004E0CF4" w:rsidRPr="002C7F14" w:rsidRDefault="004E0CF4" w:rsidP="004E0CF4">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표준편차를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 s/</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n(</w:t>
      </w:r>
      <w:r w:rsidRPr="002C7F14">
        <w:rPr>
          <w:rFonts w:asciiTheme="minorEastAsia" w:eastAsiaTheme="minorEastAsia" w:hAnsiTheme="minorEastAsia" w:cs="맑은 고딕" w:hint="eastAsia"/>
          <w:sz w:val="20"/>
          <w:szCs w:val="20"/>
          <w:lang w:eastAsia="ko-KR"/>
        </w:rPr>
        <w:t>여기서</w:t>
      </w:r>
      <w:r w:rsidRPr="002C7F14">
        <w:rPr>
          <w:rFonts w:asciiTheme="minorEastAsia" w:eastAsiaTheme="minorEastAsia" w:hAnsiTheme="minorEastAsia" w:cs="맑은 고딕"/>
          <w:sz w:val="20"/>
          <w:szCs w:val="20"/>
          <w:lang w:eastAsia="ko-KR"/>
        </w:rPr>
        <w:t xml:space="preserve"> n</w:t>
      </w:r>
      <w:r w:rsidRPr="002C7F14">
        <w:rPr>
          <w:rFonts w:asciiTheme="minorEastAsia" w:eastAsiaTheme="minorEastAsia" w:hAnsiTheme="minorEastAsia" w:cs="맑은 고딕" w:hint="eastAsia"/>
          <w:sz w:val="20"/>
          <w:szCs w:val="20"/>
          <w:lang w:eastAsia="ko-KR"/>
        </w:rPr>
        <w:t>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결과를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표준오차</w:t>
      </w:r>
      <w:r w:rsidRPr="002C7F14">
        <w:rPr>
          <w:rFonts w:asciiTheme="minorEastAsia" w:eastAsiaTheme="minorEastAsia" w:hAnsiTheme="minorEastAsia" w:cs="맑은 고딕"/>
          <w:sz w:val="20"/>
          <w:szCs w:val="20"/>
          <w:lang w:eastAsia="ko-KR"/>
        </w:rPr>
        <w:t>(SE)</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자유도가</w:t>
      </w:r>
      <w:r w:rsidRPr="002C7F14">
        <w:rPr>
          <w:rFonts w:asciiTheme="minorEastAsia" w:eastAsiaTheme="minorEastAsia" w:hAnsiTheme="minorEastAsia" w:cs="맑은 고딕"/>
          <w:sz w:val="20"/>
          <w:szCs w:val="20"/>
          <w:lang w:eastAsia="ko-KR"/>
        </w:rPr>
        <w:t xml:space="preserve"> n-1</w:t>
      </w:r>
      <w:r w:rsidRPr="002C7F14">
        <w:rPr>
          <w:rFonts w:asciiTheme="minorEastAsia" w:eastAsiaTheme="minorEastAsia" w:hAnsiTheme="minorEastAsia" w:cs="맑은 고딕" w:hint="eastAsia"/>
          <w:sz w:val="20"/>
          <w:szCs w:val="20"/>
          <w:lang w:eastAsia="ko-KR"/>
        </w:rPr>
        <w:t>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상위</w:t>
      </w:r>
      <w:r w:rsidRPr="002C7F14">
        <w:rPr>
          <w:rFonts w:asciiTheme="minorEastAsia" w:eastAsiaTheme="minorEastAsia" w:hAnsiTheme="minorEastAsia" w:cs="맑은 고딕"/>
          <w:sz w:val="20"/>
          <w:szCs w:val="20"/>
          <w:lang w:eastAsia="ko-KR"/>
        </w:rPr>
        <w:t xml:space="preserve"> 5%p</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스튜던트</w:t>
      </w:r>
      <w:r w:rsidRPr="002C7F14">
        <w:rPr>
          <w:rFonts w:asciiTheme="minorEastAsia" w:eastAsiaTheme="minorEastAsia" w:hAnsiTheme="minorEastAsia" w:cs="맑은 고딕"/>
          <w:sz w:val="20"/>
          <w:szCs w:val="20"/>
          <w:lang w:eastAsia="ko-KR"/>
        </w:rPr>
        <w:t xml:space="preserve"> t-</w:t>
      </w:r>
      <w:r w:rsidRPr="002C7F14">
        <w:rPr>
          <w:rFonts w:asciiTheme="minorEastAsia" w:eastAsiaTheme="minorEastAsia" w:hAnsiTheme="minorEastAsia" w:cs="맑은 고딕" w:hint="eastAsia"/>
          <w:sz w:val="20"/>
          <w:szCs w:val="20"/>
          <w:lang w:eastAsia="ko-KR"/>
        </w:rPr>
        <w:t>분포표에서</w:t>
      </w:r>
      <w:r w:rsidRPr="002C7F14">
        <w:rPr>
          <w:rFonts w:asciiTheme="minorEastAsia" w:eastAsiaTheme="minorEastAsia" w:hAnsiTheme="minorEastAsia" w:cs="맑은 고딕"/>
          <w:sz w:val="20"/>
          <w:szCs w:val="20"/>
          <w:lang w:eastAsia="ko-KR"/>
        </w:rPr>
        <w:t xml:space="preserve"> t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구한다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결과값보다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정수인</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결정한다</w:t>
      </w:r>
    </w:p>
    <w:p w14:paraId="1ED3A361" w14:textId="382F8FBD" w:rsidR="004E0CF4" w:rsidRPr="002C7F14" w:rsidRDefault="004E0CF4" w:rsidP="00EF791F">
      <w:pPr>
        <w:spacing w:line="264" w:lineRule="auto"/>
        <w:jc w:val="both"/>
        <w:rPr>
          <w:rFonts w:asciiTheme="minorEastAsia" w:eastAsiaTheme="minorEastAsia" w:hAnsiTheme="minorEastAsia" w:cs="맑은 고딕"/>
          <w:sz w:val="20"/>
          <w:szCs w:val="20"/>
          <w:lang w:eastAsia="ko-KR"/>
        </w:rPr>
      </w:pPr>
    </w:p>
    <w:p w14:paraId="13AA14CA" w14:textId="30EED957" w:rsidR="004E0CF4" w:rsidRPr="002C7F14" w:rsidRDefault="004E0CF4" w:rsidP="004E0CF4">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5614A8B5" wp14:editId="71991A3E">
            <wp:extent cx="1333500" cy="295275"/>
            <wp:effectExtent l="0" t="0" r="0" b="9525"/>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33500" cy="295275"/>
                    </a:xfrm>
                    <a:prstGeom prst="rect">
                      <a:avLst/>
                    </a:prstGeom>
                  </pic:spPr>
                </pic:pic>
              </a:graphicData>
            </a:graphic>
          </wp:inline>
        </w:drawing>
      </w:r>
    </w:p>
    <w:p w14:paraId="46D3A202" w14:textId="3FFB0C41" w:rsidR="004E0CF4" w:rsidRPr="002C7F14" w:rsidRDefault="004E0CF4" w:rsidP="00EF791F">
      <w:pPr>
        <w:spacing w:line="264" w:lineRule="auto"/>
        <w:jc w:val="both"/>
        <w:rPr>
          <w:rFonts w:asciiTheme="minorEastAsia" w:eastAsiaTheme="minorEastAsia" w:hAnsiTheme="minorEastAsia" w:cs="맑은 고딕"/>
          <w:sz w:val="20"/>
          <w:szCs w:val="20"/>
          <w:lang w:eastAsia="ko-KR"/>
        </w:rPr>
      </w:pPr>
    </w:p>
    <w:p w14:paraId="379584A3" w14:textId="77777777" w:rsidR="004E0CF4" w:rsidRPr="002C7F14" w:rsidRDefault="004E0CF4" w:rsidP="004E0CF4">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결정이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간주되기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위해서는</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표준시료의</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예상</w:t>
      </w:r>
      <w:r w:rsidRPr="002C7F14">
        <w:rPr>
          <w:rFonts w:asciiTheme="minorEastAsia" w:eastAsiaTheme="minorEastAsia" w:hAnsiTheme="minorEastAsia" w:cs="맑은 고딕"/>
          <w:sz w:val="20"/>
          <w:szCs w:val="20"/>
          <w:lang w:eastAsia="ko-KR"/>
        </w:rPr>
        <w:t xml:space="preserve"> SPF</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표준편차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16.3</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3.43).</w:t>
      </w:r>
    </w:p>
    <w:p w14:paraId="7E0E373B"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0269D75C" w14:textId="77777777" w:rsidR="004E0CF4" w:rsidRPr="002C7F14" w:rsidRDefault="004E0CF4" w:rsidP="004E0CF4">
      <w:pPr>
        <w:pStyle w:val="a8"/>
        <w:numPr>
          <w:ilvl w:val="0"/>
          <w:numId w:val="60"/>
        </w:numPr>
        <w:tabs>
          <w:tab w:val="left" w:pos="0"/>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M020.50(a)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뒷받침하기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23~32</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C</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실내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월풀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온수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욕조에서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절차를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40</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141</w:t>
      </w:r>
      <w:r w:rsidRPr="002C7F14">
        <w:rPr>
          <w:rFonts w:asciiTheme="minorEastAsia" w:eastAsiaTheme="minorEastAsia" w:hAnsiTheme="minorEastAsia" w:cs="맑은 고딕" w:hint="eastAsia"/>
          <w:sz w:val="20"/>
          <w:szCs w:val="20"/>
          <w:lang w:eastAsia="ko-KR"/>
        </w:rPr>
        <w:t>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깨끗한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식수이다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온도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상대습도를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177A0E4"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556414B5" w14:textId="77777777" w:rsidR="004E0CF4" w:rsidRPr="002C7F14" w:rsidRDefault="004E0CF4" w:rsidP="00650819">
      <w:pPr>
        <w:pStyle w:val="a8"/>
        <w:numPr>
          <w:ilvl w:val="0"/>
          <w:numId w:val="8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(40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절차를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w:t>
      </w:r>
      <w:r w:rsidRPr="002C7F14">
        <w:rPr>
          <w:rFonts w:asciiTheme="minorEastAsia" w:eastAsiaTheme="minorEastAsia" w:hAnsiTheme="minorEastAsia" w:cs="맑은 고딕"/>
          <w:sz w:val="20"/>
          <w:szCs w:val="20"/>
          <w:lang w:eastAsia="ko-KR"/>
        </w:rPr>
        <w:t xml:space="preserve"> 40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결정한다</w:t>
      </w:r>
      <w:r w:rsidRPr="002C7F14">
        <w:rPr>
          <w:rFonts w:asciiTheme="minorEastAsia" w:eastAsiaTheme="minorEastAsia" w:hAnsiTheme="minorEastAsia" w:cs="맑은 고딕"/>
          <w:sz w:val="20"/>
          <w:szCs w:val="20"/>
          <w:lang w:eastAsia="ko-KR"/>
        </w:rPr>
        <w:t>.</w:t>
      </w:r>
    </w:p>
    <w:p w14:paraId="7B7B5857"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45F8F3B9" w14:textId="77777777"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1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M020.80(e)</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적용한다</w:t>
      </w:r>
      <w:r w:rsidRPr="002C7F14">
        <w:rPr>
          <w:rFonts w:asciiTheme="minorEastAsia" w:eastAsiaTheme="minorEastAsia" w:hAnsiTheme="minorEastAsia" w:cs="맑은 고딕"/>
          <w:sz w:val="20"/>
          <w:szCs w:val="20"/>
          <w:lang w:eastAsia="ko-KR"/>
        </w:rPr>
        <w:t>.</w:t>
      </w:r>
    </w:p>
    <w:p w14:paraId="7AAACC42" w14:textId="77777777"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2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20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중강도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신체활동을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D11F82D" w14:textId="056AE7D5"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3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15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휴식을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닦지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38D94208" w14:textId="77777777"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4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20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중간도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신체활동을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1C702EE" w14:textId="77777777"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5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완전히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말린다</w:t>
      </w:r>
      <w:r w:rsidRPr="002C7F14">
        <w:rPr>
          <w:rFonts w:asciiTheme="minorEastAsia" w:eastAsiaTheme="minorEastAsia" w:hAnsiTheme="minorEastAsia" w:cs="맑은 고딕"/>
          <w:sz w:val="20"/>
          <w:szCs w:val="20"/>
          <w:lang w:eastAsia="ko-KR"/>
        </w:rPr>
        <w:t>.</w:t>
      </w:r>
    </w:p>
    <w:p w14:paraId="4AC805A7" w14:textId="77777777"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6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M020.80(e)</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적용한다</w:t>
      </w:r>
      <w:r w:rsidRPr="002C7F14">
        <w:rPr>
          <w:rFonts w:asciiTheme="minorEastAsia" w:eastAsiaTheme="minorEastAsia" w:hAnsiTheme="minorEastAsia" w:cs="맑은 고딕"/>
          <w:sz w:val="20"/>
          <w:szCs w:val="20"/>
          <w:lang w:eastAsia="ko-KR"/>
        </w:rPr>
        <w:t>.</w:t>
      </w:r>
    </w:p>
    <w:p w14:paraId="768DC36A" w14:textId="77777777" w:rsidR="004E0CF4" w:rsidRPr="002C7F14" w:rsidRDefault="004E0CF4" w:rsidP="00650819">
      <w:pPr>
        <w:pStyle w:val="a8"/>
        <w:numPr>
          <w:ilvl w:val="0"/>
          <w:numId w:val="84"/>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7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선량에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노출시킨다</w:t>
      </w:r>
      <w:r w:rsidRPr="002C7F14">
        <w:rPr>
          <w:rFonts w:asciiTheme="minorEastAsia" w:eastAsiaTheme="minorEastAsia" w:hAnsiTheme="minorEastAsia" w:cs="맑은 고딕"/>
          <w:sz w:val="20"/>
          <w:szCs w:val="20"/>
          <w:lang w:eastAsia="ko-KR"/>
        </w:rPr>
        <w:t>.</w:t>
      </w:r>
    </w:p>
    <w:p w14:paraId="74896610" w14:textId="561D59A4" w:rsidR="004E0CF4" w:rsidRPr="002C7F14" w:rsidRDefault="004E0CF4" w:rsidP="00EF791F">
      <w:pPr>
        <w:spacing w:line="264" w:lineRule="auto"/>
        <w:jc w:val="both"/>
        <w:rPr>
          <w:rFonts w:asciiTheme="minorEastAsia" w:eastAsiaTheme="minorEastAsia" w:hAnsiTheme="minorEastAsia" w:cs="맑은 고딕"/>
          <w:sz w:val="20"/>
          <w:szCs w:val="20"/>
          <w:lang w:eastAsia="ko-KR"/>
        </w:rPr>
      </w:pPr>
    </w:p>
    <w:p w14:paraId="203B6197" w14:textId="77777777" w:rsidR="004E0CF4" w:rsidRPr="002C7F14" w:rsidRDefault="004E0CF4" w:rsidP="00650819">
      <w:pPr>
        <w:pStyle w:val="a8"/>
        <w:numPr>
          <w:ilvl w:val="0"/>
          <w:numId w:val="8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(80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절차를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w:t>
      </w:r>
      <w:r w:rsidRPr="002C7F14">
        <w:rPr>
          <w:rFonts w:asciiTheme="minorEastAsia" w:eastAsiaTheme="minorEastAsia" w:hAnsiTheme="minorEastAsia" w:cs="맑은 고딕"/>
          <w:sz w:val="20"/>
          <w:szCs w:val="20"/>
          <w:lang w:eastAsia="ko-KR"/>
        </w:rPr>
        <w:t xml:space="preserve"> 80</w:t>
      </w:r>
      <w:r w:rsidRPr="002C7F14">
        <w:rPr>
          <w:rFonts w:asciiTheme="minorEastAsia" w:eastAsiaTheme="minorEastAsia" w:hAnsiTheme="minorEastAsia" w:cs="맑은 고딕" w:hint="eastAsia"/>
          <w:sz w:val="20"/>
          <w:szCs w:val="20"/>
          <w:lang w:eastAsia="ko-KR"/>
        </w:rPr>
        <w:t>분간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결정한다</w:t>
      </w:r>
      <w:r w:rsidRPr="002C7F14">
        <w:rPr>
          <w:rFonts w:asciiTheme="minorEastAsia" w:eastAsiaTheme="minorEastAsia" w:hAnsiTheme="minorEastAsia" w:cs="맑은 고딕"/>
          <w:sz w:val="20"/>
          <w:szCs w:val="20"/>
          <w:lang w:eastAsia="ko-KR"/>
        </w:rPr>
        <w:t>.</w:t>
      </w:r>
    </w:p>
    <w:p w14:paraId="211BA68A"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3CD0B6F4"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1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M020.80(e)</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적용한다</w:t>
      </w:r>
      <w:r w:rsidRPr="002C7F14">
        <w:rPr>
          <w:rFonts w:asciiTheme="minorEastAsia" w:eastAsiaTheme="minorEastAsia" w:hAnsiTheme="minorEastAsia" w:cs="맑은 고딕"/>
          <w:sz w:val="20"/>
          <w:szCs w:val="20"/>
          <w:lang w:eastAsia="ko-KR"/>
        </w:rPr>
        <w:t>.</w:t>
      </w:r>
    </w:p>
    <w:p w14:paraId="2E0778AC"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2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20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중강도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신체활동을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6FAD23A4"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3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15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휴식을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닦지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603D3D84"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4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20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중간도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신체활동을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286DE35F" w14:textId="4EA88E40"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5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15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밖에서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휴식을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닦지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1AB87500"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6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20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중간도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신체활동을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16D5166"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7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15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밖에서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휴식을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닦지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49D88C12"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8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물에서</w:t>
      </w:r>
      <w:r w:rsidRPr="002C7F14">
        <w:rPr>
          <w:rFonts w:asciiTheme="minorEastAsia" w:eastAsiaTheme="minorEastAsia" w:hAnsiTheme="minorEastAsia" w:cs="맑은 고딕"/>
          <w:sz w:val="20"/>
          <w:szCs w:val="20"/>
          <w:lang w:eastAsia="ko-KR"/>
        </w:rPr>
        <w:t xml:space="preserve"> 20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중간도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신체활동을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13827C76"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9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완전히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말린다</w:t>
      </w:r>
      <w:r w:rsidRPr="002C7F14">
        <w:rPr>
          <w:rFonts w:asciiTheme="minorEastAsia" w:eastAsiaTheme="minorEastAsia" w:hAnsiTheme="minorEastAsia" w:cs="맑은 고딕"/>
          <w:sz w:val="20"/>
          <w:szCs w:val="20"/>
          <w:lang w:eastAsia="ko-KR"/>
        </w:rPr>
        <w:t>.</w:t>
      </w:r>
    </w:p>
    <w:p w14:paraId="0FED8041" w14:textId="1B7077B5"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10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M020.80(e)</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적용한다</w:t>
      </w:r>
      <w:r w:rsidRPr="002C7F14">
        <w:rPr>
          <w:rFonts w:asciiTheme="minorEastAsia" w:eastAsiaTheme="minorEastAsia" w:hAnsiTheme="minorEastAsia" w:cs="맑은 고딕"/>
          <w:sz w:val="20"/>
          <w:szCs w:val="20"/>
          <w:lang w:eastAsia="ko-KR"/>
        </w:rPr>
        <w:t>.</w:t>
      </w:r>
    </w:p>
    <w:p w14:paraId="255DF8BC" w14:textId="77777777" w:rsidR="004E0CF4" w:rsidRPr="002C7F14" w:rsidRDefault="004E0CF4" w:rsidP="00650819">
      <w:pPr>
        <w:pStyle w:val="a8"/>
        <w:numPr>
          <w:ilvl w:val="0"/>
          <w:numId w:val="85"/>
        </w:numPr>
        <w:tabs>
          <w:tab w:val="left" w:pos="1418"/>
        </w:tabs>
        <w:spacing w:line="264" w:lineRule="auto"/>
        <w:ind w:leftChars="0" w:left="993"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11 </w:t>
      </w:r>
      <w:r w:rsidRPr="002C7F14">
        <w:rPr>
          <w:rFonts w:asciiTheme="minorEastAsia" w:eastAsiaTheme="minorEastAsia" w:hAnsiTheme="minorEastAsia" w:cs="맑은 고딕" w:hint="eastAsia"/>
          <w:sz w:val="20"/>
          <w:szCs w:val="20"/>
          <w:lang w:eastAsia="ko-KR"/>
        </w:rPr>
        <w:t>단계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부위를</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선량에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노출시킨다</w:t>
      </w:r>
      <w:r w:rsidRPr="002C7F14">
        <w:rPr>
          <w:rFonts w:asciiTheme="minorEastAsia" w:eastAsiaTheme="minorEastAsia" w:hAnsiTheme="minorEastAsia" w:cs="맑은 고딕"/>
          <w:sz w:val="20"/>
          <w:szCs w:val="20"/>
          <w:lang w:eastAsia="ko-KR"/>
        </w:rPr>
        <w:t>.</w:t>
      </w:r>
    </w:p>
    <w:p w14:paraId="211C03D7"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4ACC03C8" w14:textId="77777777" w:rsidR="004E0CF4" w:rsidRPr="002C7F14" w:rsidRDefault="004E0CF4" w:rsidP="004E0CF4">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M020.90 </w:t>
      </w:r>
      <w:r w:rsidRPr="002C7F14">
        <w:rPr>
          <w:rFonts w:asciiTheme="minorEastAsia" w:eastAsiaTheme="minorEastAsia" w:hAnsiTheme="minorEastAsia" w:cs="맑은 고딕" w:hint="eastAsia"/>
          <w:b/>
          <w:sz w:val="20"/>
          <w:szCs w:val="20"/>
          <w:lang w:eastAsia="ko-KR"/>
        </w:rPr>
        <w:t>광범위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스펙트럼</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시험</w:t>
      </w:r>
    </w:p>
    <w:p w14:paraId="0FB9DDBC"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687C331C" w14:textId="77777777" w:rsidR="004E0CF4" w:rsidRPr="002C7F14" w:rsidRDefault="004E0CF4" w:rsidP="00650819">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UV </w:t>
      </w:r>
      <w:r w:rsidRPr="002C7F14">
        <w:rPr>
          <w:rFonts w:asciiTheme="minorEastAsia" w:eastAsiaTheme="minorEastAsia" w:hAnsiTheme="minorEastAsia" w:cs="맑은 고딕" w:hint="eastAsia"/>
          <w:sz w:val="20"/>
          <w:szCs w:val="20"/>
          <w:lang w:eastAsia="ko-KR"/>
        </w:rPr>
        <w:t>분광법</w:t>
      </w:r>
    </w:p>
    <w:p w14:paraId="7FC1B3C0" w14:textId="77777777" w:rsidR="004E0CF4" w:rsidRPr="002C7F14" w:rsidRDefault="004E0CF4" w:rsidP="004E0CF4">
      <w:pPr>
        <w:spacing w:line="264" w:lineRule="auto"/>
        <w:jc w:val="both"/>
        <w:rPr>
          <w:rFonts w:asciiTheme="minorEastAsia" w:eastAsiaTheme="minorEastAsia" w:hAnsiTheme="minorEastAsia" w:cs="맑은 고딕"/>
          <w:sz w:val="20"/>
          <w:szCs w:val="20"/>
          <w:lang w:eastAsia="ko-KR"/>
        </w:rPr>
      </w:pPr>
    </w:p>
    <w:p w14:paraId="4519D33F" w14:textId="77777777" w:rsidR="004E0CF4" w:rsidRPr="002C7F14" w:rsidRDefault="004E0CF4" w:rsidP="00E716C4">
      <w:pPr>
        <w:pStyle w:val="a8"/>
        <w:numPr>
          <w:ilvl w:val="0"/>
          <w:numId w:val="87"/>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플레이트</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적합한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광학</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등급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폴리메틸메타크릴레이트</w:t>
      </w:r>
      <w:r w:rsidRPr="002C7F14">
        <w:rPr>
          <w:rFonts w:asciiTheme="minorEastAsia" w:eastAsiaTheme="minorEastAsia" w:hAnsiTheme="minorEastAsia" w:cs="맑은 고딕"/>
          <w:sz w:val="20"/>
          <w:szCs w:val="20"/>
          <w:lang w:eastAsia="ko-KR"/>
        </w:rPr>
        <w:t xml:space="preserve">(PMMA) </w:t>
      </w:r>
      <w:r w:rsidRPr="002C7F14">
        <w:rPr>
          <w:rFonts w:asciiTheme="minorEastAsia" w:eastAsiaTheme="minorEastAsia" w:hAnsiTheme="minorEastAsia" w:cs="맑은 고딕" w:hint="eastAsia"/>
          <w:sz w:val="20"/>
          <w:szCs w:val="20"/>
          <w:lang w:eastAsia="ko-KR"/>
        </w:rPr>
        <w:t>플레이트를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플레이트는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거칠게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처리되어</w:t>
      </w:r>
      <w:r w:rsidRPr="002C7F14">
        <w:rPr>
          <w:rFonts w:asciiTheme="minorEastAsia" w:eastAsiaTheme="minorEastAsia" w:hAnsiTheme="minorEastAsia" w:cs="맑은 고딕"/>
          <w:sz w:val="20"/>
          <w:szCs w:val="20"/>
          <w:lang w:eastAsia="ko-KR"/>
        </w:rPr>
        <w:t xml:space="preserve"> 3</w:t>
      </w:r>
      <w:r w:rsidRPr="002C7F14">
        <w:rPr>
          <w:rFonts w:asciiTheme="minorEastAsia" w:eastAsiaTheme="minorEastAsia" w:hAnsiTheme="minorEastAsia" w:cs="맑은 고딕" w:hint="eastAsia"/>
          <w:sz w:val="20"/>
          <w:szCs w:val="20"/>
          <w:lang w:eastAsia="ko-KR"/>
        </w:rPr>
        <w:t>차원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측정값</w:t>
      </w:r>
      <w:r w:rsidRPr="002C7F14">
        <w:rPr>
          <w:rFonts w:asciiTheme="minorEastAsia" w:eastAsiaTheme="minorEastAsia" w:hAnsiTheme="minorEastAsia" w:cs="맑은 고딕"/>
          <w:sz w:val="20"/>
          <w:szCs w:val="20"/>
          <w:lang w:eastAsia="ko-KR"/>
        </w:rPr>
        <w:t>(Sa)</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2~7 </w:t>
      </w:r>
      <w:r w:rsidRPr="002C7F14">
        <w:rPr>
          <w:rFonts w:asciiTheme="minorEastAsia" w:eastAsiaTheme="minorEastAsia" w:hAnsiTheme="minorEastAsia" w:cs="맑은 고딕" w:hint="eastAsia"/>
          <w:sz w:val="20"/>
          <w:szCs w:val="20"/>
          <w:lang w:eastAsia="ko-KR"/>
        </w:rPr>
        <w:t>마이크로미터이어야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16 </w:t>
      </w:r>
      <w:r w:rsidRPr="002C7F14">
        <w:rPr>
          <w:rFonts w:asciiTheme="minorEastAsia" w:eastAsiaTheme="minorEastAsia" w:hAnsiTheme="minorEastAsia" w:cs="맑은 고딕" w:hint="eastAsia"/>
          <w:sz w:val="20"/>
          <w:szCs w:val="20"/>
          <w:lang w:eastAsia="ko-KR"/>
        </w:rPr>
        <w:t>제곱센티미터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변이</w:t>
      </w:r>
      <w:r w:rsidRPr="002C7F14">
        <w:rPr>
          <w:rFonts w:asciiTheme="minorEastAsia" w:eastAsiaTheme="minorEastAsia" w:hAnsiTheme="minorEastAsia" w:cs="맑은 고딕"/>
          <w:sz w:val="20"/>
          <w:szCs w:val="20"/>
          <w:lang w:eastAsia="ko-KR"/>
        </w:rPr>
        <w:t xml:space="preserve"> 4cm </w:t>
      </w:r>
      <w:r w:rsidRPr="002C7F14">
        <w:rPr>
          <w:rFonts w:asciiTheme="minorEastAsia" w:eastAsiaTheme="minorEastAsia" w:hAnsiTheme="minorEastAsia" w:cs="맑은 고딕" w:hint="eastAsia"/>
          <w:sz w:val="20"/>
          <w:szCs w:val="20"/>
          <w:lang w:eastAsia="ko-KR"/>
        </w:rPr>
        <w:t>미만이어서는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직사각형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면적이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AC9F387" w14:textId="77777777" w:rsidR="004E0CF4" w:rsidRPr="002C7F14" w:rsidRDefault="004E0CF4" w:rsidP="006C3529">
      <w:pPr>
        <w:spacing w:line="264" w:lineRule="auto"/>
        <w:ind w:left="426"/>
        <w:jc w:val="both"/>
        <w:rPr>
          <w:rFonts w:asciiTheme="minorEastAsia" w:eastAsiaTheme="minorEastAsia" w:hAnsiTheme="minorEastAsia" w:cs="맑은 고딕"/>
          <w:sz w:val="20"/>
          <w:szCs w:val="20"/>
          <w:lang w:eastAsia="ko-KR"/>
        </w:rPr>
      </w:pPr>
    </w:p>
    <w:p w14:paraId="3F04BCB9" w14:textId="038100B2" w:rsidR="004E0CF4" w:rsidRPr="002C7F14" w:rsidRDefault="004E0CF4" w:rsidP="00E716C4">
      <w:pPr>
        <w:pStyle w:val="a8"/>
        <w:numPr>
          <w:ilvl w:val="0"/>
          <w:numId w:val="87"/>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홀더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홀더는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자외선차단제가</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가장자리에서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가장자리로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흐르지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않도록</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고정해야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r w:rsidR="006C0FB3" w:rsidRPr="002C7F14">
        <w:rPr>
          <w:rFonts w:asciiTheme="minorEastAsia" w:eastAsiaTheme="minorEastAsia" w:hAnsiTheme="minorEastAsia" w:cs="맑은 고딕"/>
          <w:sz w:val="20"/>
          <w:szCs w:val="20"/>
          <w:lang w:eastAsia="ko-KR"/>
        </w:rPr>
        <w:t xml:space="preserve"> </w:t>
      </w:r>
      <w:r w:rsidR="006C0FB3" w:rsidRPr="002C7F14">
        <w:rPr>
          <w:rFonts w:asciiTheme="minorEastAsia" w:eastAsiaTheme="minorEastAsia" w:hAnsiTheme="minorEastAsia" w:cs="맑은 고딕" w:hint="eastAsia"/>
          <w:sz w:val="20"/>
          <w:szCs w:val="20"/>
          <w:lang w:eastAsia="ko-KR"/>
        </w:rPr>
        <w:t>전방 산란 방사선을 최대한 포착하기 위해 PMMA 플레이트를 분광기의 입력 광학기기에 최대한 가깝게 장착한다. 샘플 홀더는 UV 광사선이 통과할 수 있는 적절한 개구부가 있는 얇고 평평한 판이어야 한다. 거친 면이 위를 향하도록 PMMA 플레이트를 샘플 홀더의 윗면에 놓는다.</w:t>
      </w:r>
    </w:p>
    <w:p w14:paraId="41C250A6" w14:textId="77777777" w:rsidR="006C3529" w:rsidRPr="002C7F14" w:rsidRDefault="006C3529" w:rsidP="006C3529">
      <w:pPr>
        <w:spacing w:line="264" w:lineRule="auto"/>
        <w:ind w:left="426"/>
        <w:jc w:val="both"/>
        <w:rPr>
          <w:rFonts w:asciiTheme="minorEastAsia" w:eastAsiaTheme="minorEastAsia" w:hAnsiTheme="minorEastAsia" w:cs="맑은 고딕"/>
          <w:sz w:val="20"/>
          <w:szCs w:val="20"/>
          <w:lang w:eastAsia="ko-KR"/>
        </w:rPr>
      </w:pPr>
    </w:p>
    <w:p w14:paraId="569CD921" w14:textId="77777777" w:rsidR="006C3529" w:rsidRPr="002C7F14" w:rsidRDefault="006C3529" w:rsidP="00E716C4">
      <w:pPr>
        <w:pStyle w:val="a8"/>
        <w:numPr>
          <w:ilvl w:val="0"/>
          <w:numId w:val="87"/>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광원. 광원은 290~400 나노미터의 UV 방사선의 연속적인 스펙트럼 분포를 생성해야 한다.</w:t>
      </w:r>
    </w:p>
    <w:p w14:paraId="5A42A53F" w14:textId="77777777" w:rsidR="006C3529" w:rsidRPr="002C7F14" w:rsidRDefault="006C3529" w:rsidP="006C3529">
      <w:pPr>
        <w:spacing w:line="264" w:lineRule="auto"/>
        <w:ind w:left="426"/>
        <w:jc w:val="both"/>
        <w:rPr>
          <w:rFonts w:asciiTheme="minorEastAsia" w:eastAsiaTheme="minorEastAsia" w:hAnsiTheme="minorEastAsia" w:cs="맑은 고딕"/>
          <w:sz w:val="20"/>
          <w:szCs w:val="20"/>
          <w:lang w:eastAsia="ko-KR"/>
        </w:rPr>
      </w:pPr>
    </w:p>
    <w:p w14:paraId="49CA4F0F" w14:textId="46CD3B8F" w:rsidR="006C3529" w:rsidRPr="002C7F14" w:rsidRDefault="006C3529" w:rsidP="00E716C4">
      <w:pPr>
        <w:pStyle w:val="a8"/>
        <w:numPr>
          <w:ilvl w:val="0"/>
          <w:numId w:val="87"/>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입력 광학기기. 분광기에 적분구가 장착되어 있지 않은 경우, 샘플과 분광기의 입력 광학기기 사이에 자외선 조사 확산기를 배치해야 한다. 확산기는 모든 UV 방사선 투과성이 있는 재료(예: 테프론 또는 석영)로 구성된다. 확산기는 분광기가 받은 방사선이 시준되지 않도록 보장해야 한다. 분광기의 입구 슬릿은 폭이 5 나노미터 이하가 되도록 설정해야 한다.</w:t>
      </w:r>
    </w:p>
    <w:p w14:paraId="7147BEE0" w14:textId="77777777" w:rsidR="006C3529" w:rsidRPr="002C7F14" w:rsidRDefault="006C3529" w:rsidP="006C3529">
      <w:pPr>
        <w:spacing w:line="264" w:lineRule="auto"/>
        <w:ind w:left="426"/>
        <w:jc w:val="both"/>
        <w:rPr>
          <w:rFonts w:asciiTheme="minorEastAsia" w:eastAsiaTheme="minorEastAsia" w:hAnsiTheme="minorEastAsia" w:cs="맑은 고딕"/>
          <w:sz w:val="20"/>
          <w:szCs w:val="20"/>
          <w:lang w:eastAsia="ko-KR"/>
        </w:rPr>
      </w:pPr>
    </w:p>
    <w:p w14:paraId="68727BB4" w14:textId="77777777" w:rsidR="006C3529" w:rsidRPr="002C7F14" w:rsidRDefault="006C3529" w:rsidP="00E716C4">
      <w:pPr>
        <w:pStyle w:val="a8"/>
        <w:numPr>
          <w:ilvl w:val="0"/>
          <w:numId w:val="87"/>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분광기의 동적 범위. 분광기의 동적 범위는 모든 지상 태양 자외선 파장(290~400 nm)에서 고흡수성 자외선차단제를 통해 투과율을 정확하게 측정할 만큼 충분해야 한다.</w:t>
      </w:r>
    </w:p>
    <w:p w14:paraId="3C07C232" w14:textId="10B1D048" w:rsidR="004E0CF4" w:rsidRPr="002C7F14" w:rsidRDefault="004E0CF4" w:rsidP="00EF791F">
      <w:pPr>
        <w:spacing w:line="264" w:lineRule="auto"/>
        <w:jc w:val="both"/>
        <w:rPr>
          <w:rFonts w:asciiTheme="minorEastAsia" w:eastAsiaTheme="minorEastAsia" w:hAnsiTheme="minorEastAsia" w:cs="맑은 고딕"/>
          <w:sz w:val="20"/>
          <w:szCs w:val="20"/>
          <w:lang w:eastAsia="ko-KR"/>
        </w:rPr>
      </w:pPr>
    </w:p>
    <w:p w14:paraId="2A6BACF1" w14:textId="66A13D3A" w:rsidR="002A30A0" w:rsidRPr="002C7F14" w:rsidRDefault="002A30A0" w:rsidP="002A30A0">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PMMA </w:t>
      </w:r>
      <w:r w:rsidRPr="002C7F14">
        <w:rPr>
          <w:rFonts w:asciiTheme="minorEastAsia" w:eastAsiaTheme="minorEastAsia" w:hAnsiTheme="minorEastAsia" w:cs="맑은 고딕" w:hint="eastAsia"/>
          <w:sz w:val="20"/>
          <w:szCs w:val="20"/>
          <w:lang w:eastAsia="ko-KR"/>
        </w:rPr>
        <w:t>플레이트에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정확성은</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균일하게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분포하도록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정밀하게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제어된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양의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달려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거친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제곱센티미터당</w:t>
      </w:r>
      <w:r w:rsidRPr="002C7F14">
        <w:rPr>
          <w:rFonts w:asciiTheme="minorEastAsia" w:eastAsiaTheme="minorEastAsia" w:hAnsiTheme="minorEastAsia" w:cs="맑은 고딕"/>
          <w:sz w:val="20"/>
          <w:szCs w:val="20"/>
          <w:lang w:eastAsia="ko-KR"/>
        </w:rPr>
        <w:t xml:space="preserve"> 0.75mg</w:t>
      </w:r>
      <w:r w:rsidRPr="002C7F14">
        <w:rPr>
          <w:rFonts w:asciiTheme="minorEastAsia" w:eastAsiaTheme="minorEastAsia" w:hAnsiTheme="minorEastAsia" w:cs="맑은 고딕" w:hint="eastAsia"/>
          <w:sz w:val="20"/>
          <w:szCs w:val="20"/>
          <w:lang w:eastAsia="ko-KR"/>
        </w:rPr>
        <w:t>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도포한다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연속으로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지골무를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고르게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약</w:t>
      </w:r>
      <w:r w:rsidRPr="002C7F14">
        <w:rPr>
          <w:rFonts w:asciiTheme="minorEastAsia" w:eastAsiaTheme="minorEastAsia" w:hAnsiTheme="minorEastAsia" w:cs="맑은 고딕"/>
          <w:sz w:val="20"/>
          <w:szCs w:val="20"/>
          <w:lang w:eastAsia="ko-KR"/>
        </w:rPr>
        <w:t xml:space="preserve"> 30</w:t>
      </w:r>
      <w:r w:rsidRPr="002C7F14">
        <w:rPr>
          <w:rFonts w:asciiTheme="minorEastAsia" w:eastAsiaTheme="minorEastAsia" w:hAnsiTheme="minorEastAsia" w:cs="맑은 고딕" w:hint="eastAsia"/>
          <w:sz w:val="20"/>
          <w:szCs w:val="20"/>
          <w:lang w:eastAsia="ko-KR"/>
        </w:rPr>
        <w:t>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매우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가볍게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약</w:t>
      </w:r>
      <w:r w:rsidRPr="002C7F14">
        <w:rPr>
          <w:rFonts w:asciiTheme="minorEastAsia" w:eastAsiaTheme="minorEastAsia" w:hAnsiTheme="minorEastAsia" w:cs="맑은 고딕"/>
          <w:sz w:val="20"/>
          <w:szCs w:val="20"/>
          <w:lang w:eastAsia="ko-KR"/>
        </w:rPr>
        <w:t xml:space="preserve"> 30</w:t>
      </w:r>
      <w:r w:rsidRPr="002C7F14">
        <w:rPr>
          <w:rFonts w:asciiTheme="minorEastAsia" w:eastAsiaTheme="minorEastAsia" w:hAnsiTheme="minorEastAsia" w:cs="맑은 고딕" w:hint="eastAsia"/>
          <w:sz w:val="20"/>
          <w:szCs w:val="20"/>
          <w:lang w:eastAsia="ko-KR"/>
        </w:rPr>
        <w:t>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압력으로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발라야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플레이트는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M020.90(c)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선조사를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플레이트를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어두운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곳에서</w:t>
      </w:r>
      <w:r w:rsidRPr="002C7F14">
        <w:rPr>
          <w:rFonts w:asciiTheme="minorEastAsia" w:eastAsiaTheme="minorEastAsia" w:hAnsiTheme="minorEastAsia" w:cs="맑은 고딕"/>
          <w:sz w:val="20"/>
          <w:szCs w:val="20"/>
          <w:lang w:eastAsia="ko-KR"/>
        </w:rPr>
        <w:t xml:space="preserve"> 15</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평형화해야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FD65723" w14:textId="77777777" w:rsidR="002A30A0" w:rsidRPr="002C7F14" w:rsidRDefault="002A30A0" w:rsidP="002A30A0">
      <w:pPr>
        <w:pStyle w:val="a8"/>
        <w:tabs>
          <w:tab w:val="left" w:pos="426"/>
        </w:tabs>
        <w:spacing w:line="264" w:lineRule="auto"/>
        <w:ind w:leftChars="0" w:left="0"/>
        <w:jc w:val="both"/>
        <w:rPr>
          <w:rFonts w:asciiTheme="minorEastAsia" w:eastAsiaTheme="minorEastAsia" w:hAnsiTheme="minorEastAsia" w:cs="맑은 고딕"/>
          <w:sz w:val="20"/>
          <w:szCs w:val="20"/>
          <w:lang w:eastAsia="ko-KR"/>
        </w:rPr>
      </w:pPr>
    </w:p>
    <w:p w14:paraId="5CD9E5C1" w14:textId="0942F389" w:rsidR="002A30A0" w:rsidRPr="002C7F14" w:rsidRDefault="002A30A0" w:rsidP="002A30A0">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선조사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광안정성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부족을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고려하여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M020.80(b)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시뮬레이터로</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조사한다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조사량은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선량</w:t>
      </w:r>
      <w:r w:rsidRPr="002C7F14">
        <w:rPr>
          <w:rFonts w:asciiTheme="minorEastAsia" w:eastAsiaTheme="minorEastAsia" w:hAnsiTheme="minorEastAsia" w:cs="맑은 고딕"/>
          <w:sz w:val="20"/>
          <w:szCs w:val="20"/>
          <w:lang w:eastAsia="ko-KR"/>
        </w:rPr>
        <w:t xml:space="preserve"> 800 J/m</w:t>
      </w:r>
      <w:r w:rsidRPr="002C7F14">
        <w:rPr>
          <w:rFonts w:asciiTheme="minorEastAsia" w:eastAsiaTheme="minorEastAsia" w:hAnsiTheme="minorEastAsia" w:cs="맑은 고딕"/>
          <w:sz w:val="20"/>
          <w:szCs w:val="20"/>
          <w:vertAlign w:val="superscript"/>
          <w:lang w:eastAsia="ko-KR"/>
        </w:rPr>
        <w:t>2</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즉</w:t>
      </w:r>
      <w:r w:rsidRPr="002C7F14">
        <w:rPr>
          <w:rFonts w:asciiTheme="minorEastAsia" w:eastAsiaTheme="minorEastAsia" w:hAnsiTheme="minorEastAsia" w:cs="맑은 고딕"/>
          <w:sz w:val="20"/>
          <w:szCs w:val="20"/>
          <w:lang w:eastAsia="ko-KR"/>
        </w:rPr>
        <w:t>, 800 J/m</w:t>
      </w:r>
      <w:r w:rsidRPr="002C7F14">
        <w:rPr>
          <w:rFonts w:asciiTheme="minorEastAsia" w:eastAsiaTheme="minorEastAsia" w:hAnsiTheme="minorEastAsia" w:cs="맑은 고딕"/>
          <w:sz w:val="20"/>
          <w:szCs w:val="20"/>
          <w:vertAlign w:val="superscript"/>
          <w:lang w:eastAsia="ko-KR"/>
        </w:rPr>
        <w:t>2</w:t>
      </w:r>
      <w:r w:rsidRPr="002C7F14">
        <w:rPr>
          <w:rFonts w:asciiTheme="minorEastAsia" w:eastAsiaTheme="minorEastAsia" w:hAnsiTheme="minorEastAsia" w:cs="맑은 고딕"/>
          <w:sz w:val="20"/>
          <w:szCs w:val="20"/>
          <w:lang w:eastAsia="ko-KR"/>
        </w:rPr>
        <w:t>-eff)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해당하는</w:t>
      </w:r>
      <w:r w:rsidRPr="002C7F14">
        <w:rPr>
          <w:rFonts w:asciiTheme="minorEastAsia" w:eastAsiaTheme="minorEastAsia" w:hAnsiTheme="minorEastAsia" w:cs="맑은 고딕"/>
          <w:sz w:val="20"/>
          <w:szCs w:val="20"/>
          <w:lang w:eastAsia="ko-KR"/>
        </w:rPr>
        <w:t xml:space="preserve"> 4 MED</w:t>
      </w:r>
      <w:r w:rsidRPr="002C7F14">
        <w:rPr>
          <w:rFonts w:asciiTheme="minorEastAsia" w:eastAsiaTheme="minorEastAsia" w:hAnsiTheme="minorEastAsia" w:cs="맑은 고딕" w:hint="eastAsia"/>
          <w:sz w:val="20"/>
          <w:szCs w:val="20"/>
          <w:lang w:eastAsia="ko-KR"/>
        </w:rPr>
        <w:t>여야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2E5009B0" w14:textId="77777777" w:rsidR="002A30A0" w:rsidRPr="002C7F14" w:rsidRDefault="002A30A0" w:rsidP="002A30A0">
      <w:pPr>
        <w:pStyle w:val="a8"/>
        <w:tabs>
          <w:tab w:val="left" w:pos="426"/>
        </w:tabs>
        <w:spacing w:line="264" w:lineRule="auto"/>
        <w:ind w:leftChars="0" w:left="0"/>
        <w:jc w:val="both"/>
        <w:rPr>
          <w:rFonts w:asciiTheme="minorEastAsia" w:eastAsiaTheme="minorEastAsia" w:hAnsiTheme="minorEastAsia" w:cs="맑은 고딕"/>
          <w:sz w:val="20"/>
          <w:szCs w:val="20"/>
          <w:lang w:eastAsia="ko-KR"/>
        </w:rPr>
      </w:pPr>
    </w:p>
    <w:p w14:paraId="4F905FFB" w14:textId="77777777" w:rsidR="002A30A0" w:rsidRPr="002C7F14" w:rsidRDefault="002A30A0" w:rsidP="002A30A0">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w:t>
      </w:r>
    </w:p>
    <w:p w14:paraId="70BEFF1D" w14:textId="77777777" w:rsidR="002A30A0" w:rsidRPr="002C7F14" w:rsidRDefault="002A30A0" w:rsidP="002A30A0">
      <w:pPr>
        <w:spacing w:line="264" w:lineRule="auto"/>
        <w:jc w:val="both"/>
        <w:rPr>
          <w:rFonts w:asciiTheme="minorEastAsia" w:eastAsiaTheme="minorEastAsia" w:hAnsiTheme="minorEastAsia" w:cs="맑은 고딕"/>
          <w:sz w:val="20"/>
          <w:szCs w:val="20"/>
          <w:lang w:eastAsia="ko-KR"/>
        </w:rPr>
      </w:pPr>
    </w:p>
    <w:p w14:paraId="10902503" w14:textId="5F02CB6D" w:rsidR="004E0CF4" w:rsidRPr="002C7F14" w:rsidRDefault="002A30A0" w:rsidP="00E716C4">
      <w:pPr>
        <w:pStyle w:val="a8"/>
        <w:numPr>
          <w:ilvl w:val="0"/>
          <w:numId w:val="8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선조사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(290~400 </w:t>
      </w:r>
      <w:r w:rsidRPr="002C7F14">
        <w:rPr>
          <w:rFonts w:asciiTheme="minorEastAsia" w:eastAsiaTheme="minorEastAsia" w:hAnsiTheme="minorEastAsia" w:cs="맑은 고딕" w:hint="eastAsia"/>
          <w:sz w:val="20"/>
          <w:szCs w:val="20"/>
          <w:lang w:eastAsia="ko-KR"/>
        </w:rPr>
        <w:t>나노미터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1 </w:t>
      </w:r>
      <w:r w:rsidRPr="002C7F14">
        <w:rPr>
          <w:rFonts w:asciiTheme="minorEastAsia" w:eastAsiaTheme="minorEastAsia" w:hAnsiTheme="minorEastAsia" w:cs="맑은 고딕" w:hint="eastAsia"/>
          <w:sz w:val="20"/>
          <w:szCs w:val="20"/>
          <w:lang w:eastAsia="ko-KR"/>
        </w:rPr>
        <w:t>나노미터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간격으로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측정한다</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마이크로리터의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글리세린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없음</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코팅된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대조</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방사조도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측정은</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5</w:t>
      </w:r>
      <w:r w:rsidRPr="002C7F14">
        <w:rPr>
          <w:rFonts w:asciiTheme="minorEastAsia" w:eastAsiaTheme="minorEastAsia" w:hAnsiTheme="minorEastAsia" w:cs="맑은 고딕" w:hint="eastAsia"/>
          <w:sz w:val="20"/>
          <w:szCs w:val="20"/>
          <w:lang w:eastAsia="ko-KR"/>
        </w:rPr>
        <w:t>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위치</w:t>
      </w:r>
      <w:r w:rsidRPr="002C7F14">
        <w:rPr>
          <w:rFonts w:asciiTheme="minorEastAsia" w:eastAsiaTheme="minorEastAsia" w:hAnsiTheme="minorEastAsia" w:cs="맑은 고딕"/>
          <w:sz w:val="20"/>
          <w:szCs w:val="20"/>
          <w:lang w:eastAsia="ko-KR"/>
        </w:rPr>
        <w:t>[C1(</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C2(</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C3(</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C4(</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C5(</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도포된</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방사조도의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5</w:t>
      </w:r>
      <w:r w:rsidRPr="002C7F14">
        <w:rPr>
          <w:rFonts w:asciiTheme="minorEastAsia" w:eastAsiaTheme="minorEastAsia" w:hAnsiTheme="minorEastAsia" w:cs="맑은 고딕" w:hint="eastAsia"/>
          <w:sz w:val="20"/>
          <w:szCs w:val="20"/>
          <w:lang w:eastAsia="ko-KR"/>
        </w:rPr>
        <w:t>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측정값</w:t>
      </w:r>
      <w:r w:rsidRPr="002C7F14">
        <w:rPr>
          <w:rFonts w:asciiTheme="minorEastAsia" w:eastAsiaTheme="minorEastAsia" w:hAnsiTheme="minorEastAsia" w:cs="맑은 고딕"/>
          <w:sz w:val="20"/>
          <w:szCs w:val="20"/>
          <w:lang w:eastAsia="ko-KR"/>
        </w:rPr>
        <w:t>[P1(</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P2(</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P3(</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P4(</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P5(</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선조사한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후에도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유사하게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얻는다</w:t>
      </w:r>
      <w:r w:rsidRPr="002C7F14">
        <w:rPr>
          <w:rFonts w:asciiTheme="minorEastAsia" w:eastAsiaTheme="minorEastAsia" w:hAnsiTheme="minorEastAsia" w:cs="맑은 고딕"/>
          <w:sz w:val="20"/>
          <w:szCs w:val="20"/>
          <w:lang w:eastAsia="ko-KR"/>
        </w:rPr>
        <w:t>.</w:t>
      </w:r>
    </w:p>
    <w:p w14:paraId="6CAEE8F4" w14:textId="18712373" w:rsidR="004E0CF4" w:rsidRPr="002C7F14" w:rsidRDefault="004E0CF4" w:rsidP="00EF791F">
      <w:pPr>
        <w:spacing w:line="264" w:lineRule="auto"/>
        <w:jc w:val="both"/>
        <w:rPr>
          <w:rFonts w:asciiTheme="minorEastAsia" w:eastAsiaTheme="minorEastAsia" w:hAnsiTheme="minorEastAsia" w:cs="맑은 고딕"/>
          <w:sz w:val="20"/>
          <w:szCs w:val="20"/>
          <w:lang w:eastAsia="ko-KR"/>
        </w:rPr>
      </w:pPr>
    </w:p>
    <w:p w14:paraId="4769A8E0" w14:textId="7518521D" w:rsidR="00884E57" w:rsidRPr="002C7F14" w:rsidRDefault="002A30A0" w:rsidP="00E716C4">
      <w:pPr>
        <w:pStyle w:val="a8"/>
        <w:numPr>
          <w:ilvl w:val="0"/>
          <w:numId w:val="8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투과율은</w:t>
      </w:r>
      <w:r w:rsidRPr="002C7F14">
        <w:rPr>
          <w:rFonts w:asciiTheme="minorEastAsia" w:eastAsiaTheme="minorEastAsia" w:hAnsiTheme="minorEastAsia" w:cs="맑은 고딕"/>
          <w:sz w:val="20"/>
          <w:szCs w:val="20"/>
          <w:lang w:eastAsia="ko-KR"/>
        </w:rPr>
        <w:t xml:space="preserve"> P(</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대비</w:t>
      </w:r>
      <w:r w:rsidRPr="002C7F14">
        <w:rPr>
          <w:rFonts w:asciiTheme="minorEastAsia" w:eastAsiaTheme="minorEastAsia" w:hAnsiTheme="minorEastAsia" w:cs="맑은 고딕"/>
          <w:sz w:val="20"/>
          <w:szCs w:val="20"/>
          <w:lang w:eastAsia="ko-KR"/>
        </w:rPr>
        <w:t xml:space="preserve"> C(</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비율로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w:t>
      </w:r>
    </w:p>
    <w:p w14:paraId="4AA58D15" w14:textId="4C2239F7" w:rsidR="00884E57" w:rsidRPr="002C7F14" w:rsidRDefault="00884E57" w:rsidP="00EF791F">
      <w:pPr>
        <w:spacing w:line="264" w:lineRule="auto"/>
        <w:jc w:val="both"/>
        <w:rPr>
          <w:rFonts w:asciiTheme="minorEastAsia" w:eastAsiaTheme="minorEastAsia" w:hAnsiTheme="minorEastAsia" w:cs="맑은 고딕"/>
          <w:sz w:val="20"/>
          <w:szCs w:val="20"/>
          <w:lang w:eastAsia="ko-KR"/>
        </w:rPr>
      </w:pPr>
    </w:p>
    <w:p w14:paraId="5816A2AE" w14:textId="6C096BBE" w:rsidR="00884E57" w:rsidRPr="002C7F14" w:rsidRDefault="002A30A0" w:rsidP="002A30A0">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4077487E" wp14:editId="3B24D5FA">
            <wp:extent cx="1743075" cy="590550"/>
            <wp:effectExtent l="0" t="0" r="9525"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43075" cy="590550"/>
                    </a:xfrm>
                    <a:prstGeom prst="rect">
                      <a:avLst/>
                    </a:prstGeom>
                  </pic:spPr>
                </pic:pic>
              </a:graphicData>
            </a:graphic>
          </wp:inline>
        </w:drawing>
      </w:r>
    </w:p>
    <w:p w14:paraId="7BD459FF" w14:textId="3270AFA2" w:rsidR="00884E57" w:rsidRPr="002C7F14" w:rsidRDefault="002A30A0" w:rsidP="002A30A0">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 xml:space="preserve">위 식에서 </w:t>
      </w:r>
      <w:r w:rsidRPr="002C7F14">
        <w:rPr>
          <w:rFonts w:asciiTheme="minorEastAsia" w:eastAsiaTheme="minorEastAsia" w:hAnsiTheme="minorEastAsia" w:cs="맑은 고딕"/>
          <w:sz w:val="20"/>
          <w:szCs w:val="20"/>
          <w:lang w:eastAsia="ko-KR"/>
        </w:rPr>
        <w:t>n</w:t>
      </w:r>
      <w:r w:rsidRPr="002C7F14">
        <w:rPr>
          <w:rFonts w:asciiTheme="minorEastAsia" w:eastAsiaTheme="minorEastAsia" w:hAnsiTheme="minorEastAsia" w:cs="맑은 고딕" w:hint="eastAsia"/>
          <w:sz w:val="20"/>
          <w:szCs w:val="20"/>
          <w:lang w:eastAsia="ko-KR"/>
        </w:rPr>
        <w:t xml:space="preserve"> ≥</w:t>
      </w:r>
      <w:r w:rsidRPr="002C7F14">
        <w:rPr>
          <w:rFonts w:asciiTheme="minorEastAsia" w:eastAsiaTheme="minorEastAsia" w:hAnsiTheme="minorEastAsia" w:cs="맑은 고딕"/>
          <w:sz w:val="20"/>
          <w:szCs w:val="20"/>
          <w:lang w:eastAsia="ko-KR"/>
        </w:rPr>
        <w:t>5</w:t>
      </w:r>
    </w:p>
    <w:p w14:paraId="2EEC7037" w14:textId="77777777" w:rsidR="002A30A0" w:rsidRPr="002C7F14" w:rsidRDefault="002A30A0" w:rsidP="00EF791F">
      <w:pPr>
        <w:spacing w:line="264" w:lineRule="auto"/>
        <w:jc w:val="both"/>
        <w:rPr>
          <w:rFonts w:asciiTheme="minorEastAsia" w:eastAsiaTheme="minorEastAsia" w:hAnsiTheme="minorEastAsia" w:cs="맑은 고딕"/>
          <w:sz w:val="20"/>
          <w:szCs w:val="20"/>
          <w:lang w:eastAsia="ko-KR"/>
        </w:rPr>
      </w:pPr>
    </w:p>
    <w:p w14:paraId="7C0F964C" w14:textId="2D653A65" w:rsidR="00884E57" w:rsidRPr="002C7F14" w:rsidRDefault="002A30A0" w:rsidP="002A30A0">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w:t>
      </w:r>
    </w:p>
    <w:p w14:paraId="488164B8" w14:textId="77777777" w:rsidR="002A30A0" w:rsidRPr="002C7F14" w:rsidRDefault="002A30A0" w:rsidP="002A30A0">
      <w:pPr>
        <w:spacing w:line="264" w:lineRule="auto"/>
        <w:jc w:val="both"/>
        <w:rPr>
          <w:rFonts w:asciiTheme="minorEastAsia" w:eastAsiaTheme="minorEastAsia" w:hAnsiTheme="minorEastAsia" w:cs="맑은 고딕"/>
          <w:color w:val="FF0000"/>
          <w:sz w:val="20"/>
          <w:szCs w:val="20"/>
          <w:lang w:eastAsia="ko-KR"/>
        </w:rPr>
      </w:pPr>
    </w:p>
    <w:p w14:paraId="67ABC3C0" w14:textId="4C9C3FDC" w:rsidR="00884E57" w:rsidRPr="002C7F14" w:rsidRDefault="002A30A0" w:rsidP="00E716C4">
      <w:pPr>
        <w:pStyle w:val="a8"/>
        <w:numPr>
          <w:ilvl w:val="0"/>
          <w:numId w:val="89"/>
        </w:numPr>
        <w:spacing w:line="264" w:lineRule="auto"/>
        <w:ind w:leftChars="0" w:left="426" w:firstLine="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값은</w:t>
      </w:r>
    </w:p>
    <w:p w14:paraId="5BDFABCC" w14:textId="0E7D798D" w:rsidR="00884E57" w:rsidRPr="002C7F14" w:rsidRDefault="00C701CF" w:rsidP="00C701CF">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714FFD41" wp14:editId="24B39522">
            <wp:extent cx="523875" cy="333375"/>
            <wp:effectExtent l="0" t="0" r="9525" b="9525"/>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3875" cy="333375"/>
                    </a:xfrm>
                    <a:prstGeom prst="rect">
                      <a:avLst/>
                    </a:prstGeom>
                  </pic:spPr>
                </pic:pic>
              </a:graphicData>
            </a:graphic>
          </wp:inline>
        </w:drawing>
      </w:r>
    </w:p>
    <w:p w14:paraId="7EACC859" w14:textId="77777777" w:rsidR="00C701CF" w:rsidRPr="002C7F14" w:rsidRDefault="00C701CF" w:rsidP="00C701CF">
      <w:pPr>
        <w:spacing w:line="264" w:lineRule="auto"/>
        <w:rPr>
          <w:rFonts w:asciiTheme="minorEastAsia" w:eastAsiaTheme="minorEastAsia" w:hAnsiTheme="minorEastAsia" w:cs="맑은 고딕"/>
          <w:sz w:val="20"/>
          <w:szCs w:val="20"/>
          <w:lang w:eastAsia="ko-KR"/>
        </w:rPr>
      </w:pPr>
    </w:p>
    <w:p w14:paraId="2708324B" w14:textId="2112129E" w:rsidR="0063516C"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음의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취하여</w:t>
      </w:r>
    </w:p>
    <w:p w14:paraId="06A4F9E4" w14:textId="315E0ED1" w:rsidR="0063516C" w:rsidRPr="002C7F14" w:rsidRDefault="00C701CF" w:rsidP="00C701CF">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006B339C" wp14:editId="2BA78652">
            <wp:extent cx="1704975" cy="304800"/>
            <wp:effectExtent l="0" t="0" r="9525"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04975" cy="304800"/>
                    </a:xfrm>
                    <a:prstGeom prst="rect">
                      <a:avLst/>
                    </a:prstGeom>
                  </pic:spPr>
                </pic:pic>
              </a:graphicData>
            </a:graphic>
          </wp:inline>
        </w:drawing>
      </w:r>
    </w:p>
    <w:p w14:paraId="72A79CD7" w14:textId="2338E74F"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590E7746" w14:textId="39385F56"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아래의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전환된다</w:t>
      </w:r>
      <w:r w:rsidRPr="002C7F14">
        <w:rPr>
          <w:rFonts w:asciiTheme="minorEastAsia" w:eastAsiaTheme="minorEastAsia" w:hAnsiTheme="minorEastAsia" w:cs="맑은 고딕"/>
          <w:sz w:val="20"/>
          <w:szCs w:val="20"/>
          <w:lang w:eastAsia="ko-KR"/>
        </w:rPr>
        <w:t>.</w:t>
      </w:r>
    </w:p>
    <w:p w14:paraId="4BF75B25" w14:textId="14AFF825" w:rsidR="00C701CF" w:rsidRPr="002C7F14" w:rsidRDefault="00C701CF" w:rsidP="00C701CF">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3DCF7184" wp14:editId="5A42B922">
            <wp:extent cx="571500" cy="333375"/>
            <wp:effectExtent l="0" t="0" r="0" b="9525"/>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1500" cy="333375"/>
                    </a:xfrm>
                    <a:prstGeom prst="rect">
                      <a:avLst/>
                    </a:prstGeom>
                  </pic:spPr>
                </pic:pic>
              </a:graphicData>
            </a:graphic>
          </wp:inline>
        </w:drawing>
      </w:r>
    </w:p>
    <w:p w14:paraId="53FEA1C4" w14:textId="458EEC07"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17019F63" w14:textId="76FEC227" w:rsidR="00C701CF" w:rsidRPr="002C7F14" w:rsidRDefault="00C701CF" w:rsidP="00E716C4">
      <w:pPr>
        <w:pStyle w:val="a8"/>
        <w:numPr>
          <w:ilvl w:val="0"/>
          <w:numId w:val="89"/>
        </w:numPr>
        <w:spacing w:line="264" w:lineRule="auto"/>
        <w:ind w:leftChars="0" w:left="426" w:firstLine="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계산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결과</w:t>
      </w:r>
      <w:r w:rsidRPr="002C7F14">
        <w:rPr>
          <w:rFonts w:asciiTheme="minorEastAsia" w:eastAsiaTheme="minorEastAsia" w:hAnsiTheme="minorEastAsia" w:cs="맑은 고딕"/>
          <w:sz w:val="20"/>
          <w:szCs w:val="20"/>
          <w:lang w:eastAsia="ko-KR"/>
        </w:rPr>
        <w:t xml:space="preserve"> 290 </w:t>
      </w:r>
      <w:r w:rsidRPr="002C7F14">
        <w:rPr>
          <w:rFonts w:asciiTheme="minorEastAsia" w:eastAsiaTheme="minorEastAsia" w:hAnsiTheme="minorEastAsia" w:cs="맑은 고딕" w:hint="eastAsia"/>
          <w:sz w:val="20"/>
          <w:szCs w:val="20"/>
          <w:lang w:eastAsia="ko-KR"/>
        </w:rPr>
        <w:t>나노미터에서</w:t>
      </w:r>
      <w:r w:rsidRPr="002C7F14">
        <w:rPr>
          <w:rFonts w:asciiTheme="minorEastAsia" w:eastAsiaTheme="minorEastAsia" w:hAnsiTheme="minorEastAsia" w:cs="맑은 고딕"/>
          <w:sz w:val="20"/>
          <w:szCs w:val="20"/>
          <w:lang w:eastAsia="ko-KR"/>
        </w:rPr>
        <w:t xml:space="preserve"> 400 </w:t>
      </w:r>
      <w:r w:rsidRPr="002C7F14">
        <w:rPr>
          <w:rFonts w:asciiTheme="minorEastAsia" w:eastAsiaTheme="minorEastAsia" w:hAnsiTheme="minorEastAsia" w:cs="맑은 고딕" w:hint="eastAsia"/>
          <w:sz w:val="20"/>
          <w:szCs w:val="20"/>
          <w:lang w:eastAsia="ko-KR"/>
        </w:rPr>
        <w:t>나노미터까지</w:t>
      </w:r>
      <w:r w:rsidRPr="002C7F14">
        <w:rPr>
          <w:rFonts w:asciiTheme="minorEastAsia" w:eastAsiaTheme="minorEastAsia" w:hAnsiTheme="minorEastAsia" w:cs="맑은 고딕"/>
          <w:sz w:val="20"/>
          <w:szCs w:val="20"/>
          <w:lang w:eastAsia="ko-KR"/>
        </w:rPr>
        <w:t xml:space="preserve"> 1 </w:t>
      </w:r>
      <w:r w:rsidRPr="002C7F14">
        <w:rPr>
          <w:rFonts w:asciiTheme="minorEastAsia" w:eastAsiaTheme="minorEastAsia" w:hAnsiTheme="minorEastAsia" w:cs="맑은 고딕" w:hint="eastAsia"/>
          <w:sz w:val="20"/>
          <w:szCs w:val="20"/>
          <w:lang w:eastAsia="ko-KR"/>
        </w:rPr>
        <w:t>나노미터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단위로</w:t>
      </w:r>
      <w:r w:rsidRPr="002C7F14">
        <w:rPr>
          <w:rFonts w:asciiTheme="minorEastAsia" w:eastAsiaTheme="minorEastAsia" w:hAnsiTheme="minorEastAsia" w:cs="맑은 고딕"/>
          <w:sz w:val="20"/>
          <w:szCs w:val="20"/>
          <w:lang w:eastAsia="ko-KR"/>
        </w:rPr>
        <w:t xml:space="preserve"> 111</w:t>
      </w:r>
      <w:r w:rsidRPr="002C7F14">
        <w:rPr>
          <w:rFonts w:asciiTheme="minorEastAsia" w:eastAsiaTheme="minorEastAsia" w:hAnsiTheme="minorEastAsia" w:cs="맑은 고딕" w:hint="eastAsia"/>
          <w:sz w:val="20"/>
          <w:szCs w:val="20"/>
          <w:lang w:eastAsia="ko-KR"/>
        </w:rPr>
        <w:t>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산출된다</w:t>
      </w:r>
      <w:r w:rsidRPr="002C7F14">
        <w:rPr>
          <w:rFonts w:asciiTheme="minorEastAsia" w:eastAsiaTheme="minorEastAsia" w:hAnsiTheme="minorEastAsia" w:cs="맑은 고딕"/>
          <w:sz w:val="20"/>
          <w:szCs w:val="20"/>
          <w:lang w:eastAsia="ko-KR"/>
        </w:rPr>
        <w:t>.</w:t>
      </w:r>
    </w:p>
    <w:p w14:paraId="711CDA31" w14:textId="7AEB6F66"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45FEDCD0" w14:textId="77777777" w:rsidR="00C701CF" w:rsidRPr="002C7F14" w:rsidRDefault="00C701CF" w:rsidP="00C701CF">
      <w:pPr>
        <w:pStyle w:val="a8"/>
        <w:numPr>
          <w:ilvl w:val="0"/>
          <w:numId w:val="86"/>
        </w:numPr>
        <w:tabs>
          <w:tab w:val="left" w:pos="418"/>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플레이트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3</w:t>
      </w:r>
      <w:r w:rsidRPr="002C7F14">
        <w:rPr>
          <w:rFonts w:asciiTheme="minorEastAsia" w:eastAsiaTheme="minorEastAsia" w:hAnsiTheme="minorEastAsia" w:cs="맑은 고딕" w:hint="eastAsia"/>
          <w:sz w:val="20"/>
          <w:szCs w:val="20"/>
          <w:lang w:eastAsia="ko-KR"/>
        </w:rPr>
        <w:t>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M020.90(d)</w:t>
      </w:r>
      <w:r w:rsidRPr="002C7F14">
        <w:rPr>
          <w:rFonts w:asciiTheme="minorEastAsia" w:eastAsiaTheme="minorEastAsia" w:hAnsiTheme="minorEastAsia" w:cs="맑은 고딕" w:hint="eastAsia"/>
          <w:sz w:val="20"/>
          <w:szCs w:val="20"/>
          <w:lang w:eastAsia="ko-KR"/>
        </w:rPr>
        <w:t>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플레이트당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5</w:t>
      </w:r>
      <w:r w:rsidRPr="002C7F14">
        <w:rPr>
          <w:rFonts w:asciiTheme="minorEastAsia" w:eastAsiaTheme="minorEastAsia" w:hAnsiTheme="minorEastAsia" w:cs="맑은 고딕" w:hint="eastAsia"/>
          <w:sz w:val="20"/>
          <w:szCs w:val="20"/>
          <w:lang w:eastAsia="ko-KR"/>
        </w:rPr>
        <w:t>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요구하므로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총</w:t>
      </w:r>
      <w:r w:rsidRPr="002C7F14">
        <w:rPr>
          <w:rFonts w:asciiTheme="minorEastAsia" w:eastAsiaTheme="minorEastAsia" w:hAnsiTheme="minorEastAsia" w:cs="맑은 고딕"/>
          <w:sz w:val="20"/>
          <w:szCs w:val="20"/>
          <w:lang w:eastAsia="ko-KR"/>
        </w:rPr>
        <w:t xml:space="preserve"> 15</w:t>
      </w:r>
      <w:r w:rsidRPr="002C7F14">
        <w:rPr>
          <w:rFonts w:asciiTheme="minorEastAsia" w:eastAsiaTheme="minorEastAsia" w:hAnsiTheme="minorEastAsia" w:cs="맑은 고딕" w:hint="eastAsia"/>
          <w:sz w:val="20"/>
          <w:szCs w:val="20"/>
          <w:lang w:eastAsia="ko-KR"/>
        </w:rPr>
        <w:t>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이루어져야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D69EC61" w14:textId="77777777" w:rsidR="00C701CF" w:rsidRPr="002C7F14" w:rsidRDefault="00C701CF" w:rsidP="00C701CF">
      <w:pPr>
        <w:pStyle w:val="a8"/>
        <w:tabs>
          <w:tab w:val="left" w:pos="426"/>
        </w:tabs>
        <w:spacing w:line="264" w:lineRule="auto"/>
        <w:ind w:leftChars="0" w:left="0"/>
        <w:jc w:val="both"/>
        <w:rPr>
          <w:rFonts w:asciiTheme="minorEastAsia" w:eastAsiaTheme="minorEastAsia" w:hAnsiTheme="minorEastAsia" w:cs="맑은 고딕"/>
          <w:sz w:val="20"/>
          <w:szCs w:val="20"/>
          <w:lang w:eastAsia="ko-KR"/>
        </w:rPr>
      </w:pPr>
    </w:p>
    <w:p w14:paraId="351DA7F2" w14:textId="439E36C1" w:rsidR="00C701CF" w:rsidRPr="002C7F14" w:rsidRDefault="00C701CF" w:rsidP="00C701CF">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곡선의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적분이</w:t>
      </w:r>
      <w:r w:rsidRPr="002C7F14">
        <w:rPr>
          <w:rFonts w:asciiTheme="minorEastAsia" w:eastAsiaTheme="minorEastAsia" w:hAnsiTheme="minorEastAsia" w:cs="맑은 고딕"/>
          <w:sz w:val="20"/>
          <w:szCs w:val="20"/>
          <w:lang w:eastAsia="ko-KR"/>
        </w:rPr>
        <w:t xml:space="preserve"> 290~400 nm</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스펙트럼에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적분의</w:t>
      </w:r>
      <w:r w:rsidRPr="002C7F14">
        <w:rPr>
          <w:rFonts w:asciiTheme="minorEastAsia" w:eastAsiaTheme="minorEastAsia" w:hAnsiTheme="minorEastAsia" w:cs="맑은 고딕"/>
          <w:sz w:val="20"/>
          <w:szCs w:val="20"/>
          <w:lang w:eastAsia="ko-KR"/>
        </w:rPr>
        <w:t xml:space="preserve"> 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같다</w:t>
      </w:r>
      <w:r w:rsidRPr="002C7F14">
        <w:rPr>
          <w:rFonts w:asciiTheme="minorEastAsia" w:eastAsiaTheme="minorEastAsia" w:hAnsiTheme="minorEastAsia" w:cs="맑은 고딕"/>
          <w:sz w:val="20"/>
          <w:szCs w:val="20"/>
          <w:lang w:eastAsia="ko-KR"/>
        </w:rPr>
        <w:t>.</w:t>
      </w:r>
    </w:p>
    <w:p w14:paraId="789A5D81" w14:textId="55022269"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4DEEFC6C" w14:textId="65E67362" w:rsidR="00C701CF" w:rsidRPr="002C7F14" w:rsidRDefault="00C701CF" w:rsidP="00C701CF">
      <w:pPr>
        <w:spacing w:line="264" w:lineRule="auto"/>
        <w:jc w:val="center"/>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54E56EEF" wp14:editId="00DDBC17">
            <wp:extent cx="2628900" cy="647700"/>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28900" cy="647700"/>
                    </a:xfrm>
                    <a:prstGeom prst="rect">
                      <a:avLst/>
                    </a:prstGeom>
                  </pic:spPr>
                </pic:pic>
              </a:graphicData>
            </a:graphic>
          </wp:inline>
        </w:drawing>
      </w:r>
    </w:p>
    <w:p w14:paraId="6848AF95" w14:textId="4784CD2E"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474C0E93"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c = </w:t>
      </w: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p>
    <w:p w14:paraId="4BD7F598"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A(</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파장에서의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p>
    <w:p w14:paraId="36F59A0B"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d</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간격</w:t>
      </w:r>
    </w:p>
    <w:p w14:paraId="072358F6"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p>
    <w:p w14:paraId="4CC046AF" w14:textId="72189B59" w:rsidR="00C701CF" w:rsidRPr="002C7F14" w:rsidRDefault="00C701CF" w:rsidP="00C701CF">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UVA I/UV </w:t>
      </w:r>
      <w:r w:rsidRPr="002C7F14">
        <w:rPr>
          <w:rFonts w:asciiTheme="minorEastAsia" w:eastAsiaTheme="minorEastAsia" w:hAnsiTheme="minorEastAsia" w:cs="맑은 고딕" w:hint="eastAsia"/>
          <w:sz w:val="20"/>
          <w:szCs w:val="20"/>
          <w:lang w:eastAsia="ko-KR"/>
        </w:rPr>
        <w:t>비율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w:t>
      </w:r>
      <w:r w:rsidRPr="002C7F14">
        <w:rPr>
          <w:rFonts w:asciiTheme="minorEastAsia" w:eastAsiaTheme="minorEastAsia" w:hAnsiTheme="minorEastAsia" w:cs="맑은 고딕"/>
          <w:sz w:val="20"/>
          <w:szCs w:val="20"/>
          <w:lang w:eastAsia="ko-KR"/>
        </w:rPr>
        <w:t xml:space="preserve">. UVA I/UV </w:t>
      </w:r>
      <w:r w:rsidRPr="002C7F14">
        <w:rPr>
          <w:rFonts w:asciiTheme="minorEastAsia" w:eastAsiaTheme="minorEastAsia" w:hAnsiTheme="minorEastAsia" w:cs="맑은 고딕" w:hint="eastAsia"/>
          <w:sz w:val="20"/>
          <w:szCs w:val="20"/>
          <w:lang w:eastAsia="ko-KR"/>
        </w:rPr>
        <w:t>비율은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w:t>
      </w:r>
      <w:r w:rsidRPr="002C7F14">
        <w:rPr>
          <w:rFonts w:asciiTheme="minorEastAsia" w:eastAsiaTheme="minorEastAsia" w:hAnsiTheme="minorEastAsia" w:cs="맑은 고딕"/>
          <w:sz w:val="20"/>
          <w:szCs w:val="20"/>
          <w:lang w:eastAsia="ko-KR"/>
        </w:rPr>
        <w:t xml:space="preserve"> A(</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그래프의</w:t>
      </w:r>
      <w:r w:rsidRPr="002C7F14">
        <w:rPr>
          <w:rFonts w:asciiTheme="minorEastAsia" w:eastAsiaTheme="minorEastAsia" w:hAnsiTheme="minorEastAsia" w:cs="맑은 고딕"/>
          <w:sz w:val="20"/>
          <w:szCs w:val="20"/>
          <w:lang w:eastAsia="ko-KR"/>
        </w:rPr>
        <w:t xml:space="preserve"> UVA I </w:t>
      </w:r>
      <w:r w:rsidRPr="002C7F14">
        <w:rPr>
          <w:rFonts w:asciiTheme="minorEastAsia" w:eastAsiaTheme="minorEastAsia" w:hAnsiTheme="minorEastAsia" w:cs="맑은 고딕" w:hint="eastAsia"/>
          <w:sz w:val="20"/>
          <w:szCs w:val="20"/>
          <w:lang w:eastAsia="ko-KR"/>
        </w:rPr>
        <w:t>부분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면적</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단위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파장당</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곡선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면적</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단위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파장당</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나누어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계산한다</w:t>
      </w:r>
      <w:r w:rsidRPr="002C7F14">
        <w:rPr>
          <w:rFonts w:asciiTheme="minorEastAsia" w:eastAsiaTheme="minorEastAsia" w:hAnsiTheme="minorEastAsia" w:cs="맑은 고딕"/>
          <w:sz w:val="20"/>
          <w:szCs w:val="20"/>
          <w:lang w:eastAsia="ko-KR"/>
        </w:rPr>
        <w:t>.</w:t>
      </w:r>
    </w:p>
    <w:p w14:paraId="3885D17F" w14:textId="00C2C251"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4AA55459" w14:textId="10FE1A48" w:rsidR="00C701CF" w:rsidRPr="002C7F14" w:rsidRDefault="00C701CF" w:rsidP="002C7F14">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noProof/>
          <w:sz w:val="20"/>
          <w:lang w:eastAsia="ko-KR"/>
        </w:rPr>
        <w:drawing>
          <wp:inline distT="0" distB="0" distL="0" distR="0" wp14:anchorId="7F4300DD" wp14:editId="48850DC7">
            <wp:extent cx="3657600" cy="895350"/>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57600" cy="895350"/>
                    </a:xfrm>
                    <a:prstGeom prst="rect">
                      <a:avLst/>
                    </a:prstGeom>
                  </pic:spPr>
                </pic:pic>
              </a:graphicData>
            </a:graphic>
          </wp:inline>
        </w:drawing>
      </w:r>
    </w:p>
    <w:p w14:paraId="2E5BAFAE" w14:textId="0E6F7DA8"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10F4A730"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식에서</w:t>
      </w:r>
      <w:r w:rsidRPr="002C7F14">
        <w:rPr>
          <w:rFonts w:asciiTheme="minorEastAsia" w:eastAsiaTheme="minorEastAsia" w:hAnsiTheme="minorEastAsia" w:cs="맑은 고딕"/>
          <w:sz w:val="20"/>
          <w:szCs w:val="20"/>
          <w:lang w:eastAsia="ko-KR"/>
        </w:rPr>
        <w:t>:</w:t>
      </w:r>
    </w:p>
    <w:p w14:paraId="14BE9A42"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A(</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파장에서</w:t>
      </w:r>
      <w:r w:rsidRPr="002C7F14">
        <w:rPr>
          <w:rFonts w:asciiTheme="minorEastAsia" w:eastAsiaTheme="minorEastAsia" w:hAnsiTheme="minorEastAsia" w:cs="맑은 고딕"/>
          <w:sz w:val="20"/>
          <w:szCs w:val="20"/>
          <w:lang w:eastAsia="ko-KR"/>
        </w:rPr>
        <w:t xml:space="preserve"> -log T(</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주어진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p>
    <w:p w14:paraId="6F3083D5"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d(</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간격</w:t>
      </w:r>
    </w:p>
    <w:p w14:paraId="333E6283"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B(</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 </w:t>
      </w:r>
      <w:r w:rsidRPr="002C7F14">
        <w:rPr>
          <w:rFonts w:asciiTheme="minorEastAsia" w:eastAsiaTheme="minorEastAsia" w:hAnsiTheme="minorEastAsia" w:cs="맑은 고딕" w:hint="eastAsia"/>
          <w:sz w:val="20"/>
          <w:szCs w:val="20"/>
          <w:lang w:eastAsia="ko-KR"/>
        </w:rPr>
        <w:t>생물학적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계수</w:t>
      </w:r>
    </w:p>
    <w:p w14:paraId="7B561739" w14:textId="77777777" w:rsidR="00C701CF" w:rsidRPr="002C7F14" w:rsidRDefault="00C701CF" w:rsidP="00C701CF">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UVA </w:t>
      </w:r>
      <w:r w:rsidRPr="002C7F14">
        <w:rPr>
          <w:rFonts w:asciiTheme="minorEastAsia" w:eastAsiaTheme="minorEastAsia" w:hAnsiTheme="minorEastAsia" w:cs="맑은 고딕" w:hint="eastAsia"/>
          <w:sz w:val="20"/>
          <w:szCs w:val="20"/>
          <w:lang w:eastAsia="ko-KR"/>
        </w:rPr>
        <w:t>방사선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손상에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생물학적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보편적으로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인정되지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때문에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지정되지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않았다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따라서</w:t>
      </w:r>
      <w:r w:rsidRPr="002C7F14">
        <w:rPr>
          <w:rFonts w:asciiTheme="minorEastAsia" w:eastAsiaTheme="minorEastAsia" w:hAnsiTheme="minorEastAsia" w:cs="맑은 고딕"/>
          <w:sz w:val="20"/>
          <w:szCs w:val="20"/>
          <w:lang w:eastAsia="ko-KR"/>
        </w:rPr>
        <w:t xml:space="preserve"> B(</w:t>
      </w:r>
      <w:r w:rsidRPr="002C7F14">
        <w:rPr>
          <w:rFonts w:asciiTheme="minorEastAsia" w:eastAsiaTheme="minorEastAsia" w:hAnsiTheme="minorEastAsia" w:cs="맑은 고딕" w:hint="eastAsia"/>
          <w:sz w:val="20"/>
          <w:szCs w:val="20"/>
          <w:lang w:eastAsia="ko-KR"/>
        </w:rPr>
        <w:t>λ</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같다</w:t>
      </w:r>
      <w:r w:rsidRPr="002C7F14">
        <w:rPr>
          <w:rFonts w:asciiTheme="minorEastAsia" w:eastAsiaTheme="minorEastAsia" w:hAnsiTheme="minorEastAsia" w:cs="맑은 고딕"/>
          <w:sz w:val="20"/>
          <w:szCs w:val="20"/>
          <w:lang w:eastAsia="ko-KR"/>
        </w:rPr>
        <w:t>.</w:t>
      </w:r>
    </w:p>
    <w:p w14:paraId="30C5EB88"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p>
    <w:p w14:paraId="33E983C5" w14:textId="77777777" w:rsidR="00C701CF" w:rsidRPr="002C7F14" w:rsidRDefault="00C701CF" w:rsidP="00C701CF">
      <w:pPr>
        <w:pStyle w:val="a8"/>
        <w:numPr>
          <w:ilvl w:val="0"/>
          <w:numId w:val="86"/>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M020.90(g)</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파장이</w:t>
      </w:r>
      <w:r w:rsidRPr="002C7F14">
        <w:rPr>
          <w:rFonts w:asciiTheme="minorEastAsia" w:eastAsiaTheme="minorEastAsia" w:hAnsiTheme="minorEastAsia" w:cs="맑은 고딕"/>
          <w:sz w:val="20"/>
          <w:szCs w:val="20"/>
          <w:lang w:eastAsia="ko-KR"/>
        </w:rPr>
        <w:t xml:space="preserve"> 370nm </w:t>
      </w:r>
      <w:r w:rsidRPr="002C7F14">
        <w:rPr>
          <w:rFonts w:asciiTheme="minorEastAsia" w:eastAsiaTheme="minorEastAsia" w:hAnsiTheme="minorEastAsia" w:cs="맑은 고딕" w:hint="eastAsia"/>
          <w:sz w:val="20"/>
          <w:szCs w:val="20"/>
          <w:lang w:eastAsia="ko-KR"/>
        </w:rPr>
        <w:t>이상이고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M020.90(h)</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UVA I/UV </w:t>
      </w:r>
      <w:r w:rsidRPr="002C7F14">
        <w:rPr>
          <w:rFonts w:asciiTheme="minorEastAsia" w:eastAsiaTheme="minorEastAsia" w:hAnsiTheme="minorEastAsia" w:cs="맑은 고딕" w:hint="eastAsia"/>
          <w:sz w:val="20"/>
          <w:szCs w:val="20"/>
          <w:lang w:eastAsia="ko-KR"/>
        </w:rPr>
        <w:t>비율이</w:t>
      </w:r>
      <w:r w:rsidRPr="002C7F14">
        <w:rPr>
          <w:rFonts w:asciiTheme="minorEastAsia" w:eastAsiaTheme="minorEastAsia" w:hAnsiTheme="minorEastAsia" w:cs="맑은 고딕"/>
          <w:sz w:val="20"/>
          <w:szCs w:val="20"/>
          <w:lang w:eastAsia="ko-KR"/>
        </w:rPr>
        <w:t xml:space="preserve"> 0.70 </w:t>
      </w:r>
      <w:r w:rsidRPr="002C7F14">
        <w:rPr>
          <w:rFonts w:asciiTheme="minorEastAsia" w:eastAsiaTheme="minorEastAsia" w:hAnsiTheme="minorEastAsia" w:cs="맑은 고딕" w:hint="eastAsia"/>
          <w:sz w:val="20"/>
          <w:szCs w:val="20"/>
          <w:lang w:eastAsia="ko-KR"/>
        </w:rPr>
        <w:t>이상인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합격한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결정한다</w:t>
      </w:r>
      <w:r w:rsidRPr="002C7F14">
        <w:rPr>
          <w:rFonts w:asciiTheme="minorEastAsia" w:eastAsiaTheme="minorEastAsia" w:hAnsiTheme="minorEastAsia" w:cs="맑은 고딕"/>
          <w:sz w:val="20"/>
          <w:szCs w:val="20"/>
          <w:lang w:eastAsia="ko-KR"/>
        </w:rPr>
        <w:t>.</w:t>
      </w:r>
    </w:p>
    <w:p w14:paraId="2070DB5C"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p>
    <w:p w14:paraId="249C1424" w14:textId="77777777" w:rsidR="00C701CF" w:rsidRPr="002C7F14" w:rsidRDefault="00C701CF" w:rsidP="00C701CF">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M020.100 </w:t>
      </w:r>
      <w:r w:rsidRPr="002C7F14">
        <w:rPr>
          <w:rFonts w:asciiTheme="minorEastAsia" w:eastAsiaTheme="minorEastAsia" w:hAnsiTheme="minorEastAsia" w:cs="맑은 고딕" w:hint="eastAsia"/>
          <w:b/>
          <w:sz w:val="20"/>
          <w:szCs w:val="20"/>
          <w:lang w:eastAsia="ko-KR"/>
        </w:rPr>
        <w:t>최종</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제형</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시험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및</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관련</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요구사항의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규제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상태</w:t>
      </w:r>
    </w:p>
    <w:p w14:paraId="12BD7A01"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p>
    <w:p w14:paraId="09FE3270"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간주된다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207</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FD&amp;C</w:t>
      </w:r>
      <w:r w:rsidRPr="002C7F14">
        <w:rPr>
          <w:rFonts w:asciiTheme="minorEastAsia" w:eastAsiaTheme="minorEastAsia" w:hAnsiTheme="minorEastAsia" w:cs="맑은 고딕" w:hint="eastAsia"/>
          <w:sz w:val="20"/>
          <w:szCs w:val="20"/>
          <w:lang w:eastAsia="ko-KR"/>
        </w:rPr>
        <w:t>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510</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미국법전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360</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등록된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시설에서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현행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우수제조관리기준</w:t>
      </w:r>
      <w:r w:rsidRPr="002C7F14">
        <w:rPr>
          <w:rFonts w:asciiTheme="minorEastAsia" w:eastAsiaTheme="minorEastAsia" w:hAnsiTheme="minorEastAsia" w:cs="맑은 고딕"/>
          <w:sz w:val="20"/>
          <w:szCs w:val="20"/>
          <w:lang w:eastAsia="ko-KR"/>
        </w:rPr>
        <w:t xml:space="preserve">(CGMP),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w:t>
      </w:r>
      <w:r w:rsidRPr="002C7F14">
        <w:rPr>
          <w:rFonts w:asciiTheme="minorEastAsia" w:eastAsiaTheme="minorEastAsia" w:hAnsiTheme="minorEastAsia" w:cs="맑은 고딕" w:hint="eastAsia"/>
          <w:sz w:val="20"/>
          <w:szCs w:val="20"/>
          <w:lang w:eastAsia="ko-KR"/>
        </w:rPr>
        <w:t>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210</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211</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7E19D65"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p>
    <w:p w14:paraId="25601A10" w14:textId="77777777" w:rsidR="00C701CF" w:rsidRPr="002C7F14" w:rsidRDefault="00C701CF" w:rsidP="00C701CF">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M020.110 </w:t>
      </w:r>
      <w:r w:rsidRPr="002C7F14">
        <w:rPr>
          <w:rFonts w:asciiTheme="minorEastAsia" w:eastAsiaTheme="minorEastAsia" w:hAnsiTheme="minorEastAsia" w:cs="맑은 고딕" w:hint="eastAsia"/>
          <w:b/>
          <w:sz w:val="20"/>
          <w:szCs w:val="20"/>
          <w:lang w:eastAsia="ko-KR"/>
        </w:rPr>
        <w:t>기록</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보관</w:t>
      </w:r>
    </w:p>
    <w:p w14:paraId="72D4A0B7" w14:textId="7777777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p>
    <w:p w14:paraId="66344888" w14:textId="7518C1D7" w:rsidR="00C701CF" w:rsidRPr="002C7F14" w:rsidRDefault="00C701CF" w:rsidP="00C701CF">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근거하여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유효기간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1</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211.137</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면제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기준을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유효기간이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의약품의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근거하여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마지막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유통한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후</w:t>
      </w:r>
      <w:r w:rsidRPr="002C7F14">
        <w:rPr>
          <w:rFonts w:asciiTheme="minorEastAsia" w:eastAsiaTheme="minorEastAsia" w:hAnsiTheme="minorEastAsia" w:cs="맑은 고딕"/>
          <w:sz w:val="20"/>
          <w:szCs w:val="20"/>
          <w:lang w:eastAsia="ko-KR"/>
        </w:rPr>
        <w:t xml:space="preserve"> 3</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7791DD5D" w14:textId="02002CB9"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26B3BA16"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M020.110(b)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대신하여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7F69849"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2A3D0E80" w14:textId="77777777" w:rsidR="00E716C4" w:rsidRPr="002C7F14" w:rsidRDefault="00E716C4" w:rsidP="00E716C4">
      <w:pPr>
        <w:pStyle w:val="a8"/>
        <w:numPr>
          <w:ilvl w:val="0"/>
          <w:numId w:val="9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유지관리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M020.100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210</w:t>
      </w:r>
      <w:r w:rsidRPr="002C7F14">
        <w:rPr>
          <w:rFonts w:asciiTheme="minorEastAsia" w:eastAsiaTheme="minorEastAsia" w:hAnsiTheme="minorEastAsia" w:cs="맑은 고딕" w:hint="eastAsia"/>
          <w:sz w:val="20"/>
          <w:szCs w:val="20"/>
          <w:lang w:eastAsia="ko-KR"/>
        </w:rPr>
        <w:t>부와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211</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유지관리해야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03620026"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61AC5565" w14:textId="06DB2572" w:rsidR="00E716C4" w:rsidRPr="002C7F14" w:rsidRDefault="00E716C4" w:rsidP="00E716C4">
      <w:pPr>
        <w:pStyle w:val="a8"/>
        <w:numPr>
          <w:ilvl w:val="0"/>
          <w:numId w:val="91"/>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장비가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M020.100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210</w:t>
      </w:r>
      <w:r w:rsidRPr="002C7F14">
        <w:rPr>
          <w:rFonts w:asciiTheme="minorEastAsia" w:eastAsiaTheme="minorEastAsia" w:hAnsiTheme="minorEastAsia" w:cs="맑은 고딕" w:hint="eastAsia"/>
          <w:sz w:val="20"/>
          <w:szCs w:val="20"/>
          <w:lang w:eastAsia="ko-KR"/>
        </w:rPr>
        <w:t>부와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211</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정해진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유지관리되었음을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보여주는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w:t>
      </w:r>
    </w:p>
    <w:p w14:paraId="2B54E83F" w14:textId="77777777" w:rsidR="00E716C4" w:rsidRPr="002C7F14" w:rsidRDefault="00E716C4" w:rsidP="00E716C4">
      <w:pPr>
        <w:spacing w:line="264" w:lineRule="auto"/>
        <w:ind w:left="426"/>
        <w:jc w:val="both"/>
        <w:rPr>
          <w:rFonts w:asciiTheme="minorEastAsia" w:eastAsiaTheme="minorEastAsia" w:hAnsiTheme="minorEastAsia" w:cs="맑은 고딕"/>
          <w:sz w:val="20"/>
          <w:szCs w:val="20"/>
          <w:lang w:eastAsia="ko-KR"/>
        </w:rPr>
      </w:pPr>
    </w:p>
    <w:p w14:paraId="735E8995" w14:textId="77777777" w:rsidR="00E716C4" w:rsidRPr="002C7F14" w:rsidRDefault="00E716C4" w:rsidP="00E716C4">
      <w:pPr>
        <w:pStyle w:val="a8"/>
        <w:numPr>
          <w:ilvl w:val="0"/>
          <w:numId w:val="91"/>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광원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특성화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w:t>
      </w:r>
    </w:p>
    <w:p w14:paraId="0CD10B06"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4AA09C40" w14:textId="77777777" w:rsidR="00E716C4" w:rsidRPr="002C7F14" w:rsidRDefault="00E716C4" w:rsidP="00E716C4">
      <w:pPr>
        <w:pStyle w:val="a8"/>
        <w:numPr>
          <w:ilvl w:val="0"/>
          <w:numId w:val="92"/>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M020.80(b)(1)</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기여율에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0E973080" w14:textId="77777777" w:rsidR="00E716C4" w:rsidRPr="002C7F14" w:rsidRDefault="00E716C4" w:rsidP="00E716C4">
      <w:pPr>
        <w:pStyle w:val="a8"/>
        <w:numPr>
          <w:ilvl w:val="0"/>
          <w:numId w:val="92"/>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M020.80(b)(4)</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주기적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592C4B88" w14:textId="77777777" w:rsidR="00E716C4" w:rsidRPr="002C7F14" w:rsidRDefault="00E716C4" w:rsidP="00E716C4">
      <w:pPr>
        <w:pStyle w:val="a8"/>
        <w:numPr>
          <w:ilvl w:val="0"/>
          <w:numId w:val="92"/>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M020.80(b)(4)</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구성요소에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교정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재조정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광대역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방사계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미터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선량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시스템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변경사항에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135A809E" w14:textId="77777777" w:rsidR="00E716C4" w:rsidRPr="002C7F14" w:rsidRDefault="00E716C4" w:rsidP="00E716C4">
      <w:pPr>
        <w:pStyle w:val="a8"/>
        <w:numPr>
          <w:ilvl w:val="0"/>
          <w:numId w:val="92"/>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M020.80(b)(2)(iii)</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태양광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시뮬레이터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출력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1204E992"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6181340B" w14:textId="77777777" w:rsidR="00E716C4" w:rsidRPr="002C7F14" w:rsidRDefault="00E716C4" w:rsidP="00E716C4">
      <w:pPr>
        <w:pStyle w:val="a8"/>
        <w:numPr>
          <w:ilvl w:val="0"/>
          <w:numId w:val="9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210</w:t>
      </w:r>
      <w:r w:rsidRPr="002C7F14">
        <w:rPr>
          <w:rFonts w:asciiTheme="minorEastAsia" w:eastAsiaTheme="minorEastAsia" w:hAnsiTheme="minorEastAsia" w:cs="맑은 고딕" w:hint="eastAsia"/>
          <w:sz w:val="20"/>
          <w:szCs w:val="20"/>
          <w:lang w:eastAsia="ko-KR"/>
        </w:rPr>
        <w:t>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211</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외에도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34B67811"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5728F77F" w14:textId="77777777" w:rsidR="00E716C4" w:rsidRPr="002C7F14" w:rsidRDefault="00E716C4" w:rsidP="00E716C4">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시험이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시설의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이름과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w:t>
      </w:r>
      <w:r w:rsidRPr="002C7F14">
        <w:rPr>
          <w:rFonts w:asciiTheme="minorEastAsia" w:eastAsiaTheme="minorEastAsia" w:hAnsiTheme="minorEastAsia" w:cs="맑은 고딕"/>
          <w:sz w:val="20"/>
          <w:szCs w:val="20"/>
          <w:lang w:eastAsia="ko-KR"/>
        </w:rPr>
        <w:t>)</w:t>
      </w:r>
    </w:p>
    <w:p w14:paraId="59AB9C60" w14:textId="77777777" w:rsidR="00E716C4" w:rsidRPr="002C7F14" w:rsidRDefault="00E716C4" w:rsidP="00E716C4">
      <w:pPr>
        <w:spacing w:line="264" w:lineRule="auto"/>
        <w:ind w:left="426"/>
        <w:jc w:val="both"/>
        <w:rPr>
          <w:rFonts w:asciiTheme="minorEastAsia" w:eastAsiaTheme="minorEastAsia" w:hAnsiTheme="minorEastAsia" w:cs="맑은 고딕"/>
          <w:sz w:val="20"/>
          <w:szCs w:val="20"/>
          <w:lang w:eastAsia="ko-KR"/>
        </w:rPr>
      </w:pPr>
    </w:p>
    <w:p w14:paraId="279AF587" w14:textId="77777777" w:rsidR="00E716C4" w:rsidRPr="002C7F14" w:rsidRDefault="00E716C4" w:rsidP="00E716C4">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번호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제조일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예상</w:t>
      </w:r>
      <w:r w:rsidRPr="002C7F14">
        <w:rPr>
          <w:rFonts w:asciiTheme="minorEastAsia" w:eastAsiaTheme="minorEastAsia" w:hAnsiTheme="minorEastAsia" w:cs="맑은 고딕"/>
          <w:sz w:val="20"/>
          <w:szCs w:val="20"/>
          <w:lang w:eastAsia="ko-KR"/>
        </w:rPr>
        <w:t xml:space="preserve"> SPF</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특성화</w:t>
      </w:r>
    </w:p>
    <w:p w14:paraId="7ECA1009" w14:textId="77777777" w:rsidR="00E716C4" w:rsidRPr="002C7F14" w:rsidRDefault="00E716C4" w:rsidP="00E716C4">
      <w:pPr>
        <w:spacing w:line="264" w:lineRule="auto"/>
        <w:ind w:left="426"/>
        <w:jc w:val="both"/>
        <w:rPr>
          <w:rFonts w:asciiTheme="minorEastAsia" w:eastAsiaTheme="minorEastAsia" w:hAnsiTheme="minorEastAsia" w:cs="맑은 고딕"/>
          <w:sz w:val="20"/>
          <w:szCs w:val="20"/>
          <w:lang w:eastAsia="ko-KR"/>
        </w:rPr>
      </w:pPr>
    </w:p>
    <w:p w14:paraId="28D61ADD" w14:textId="77777777" w:rsidR="00E716C4" w:rsidRPr="002C7F14" w:rsidRDefault="00E716C4" w:rsidP="00E716C4">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특성화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여기에는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포함된다</w:t>
      </w:r>
      <w:r w:rsidRPr="002C7F14">
        <w:rPr>
          <w:rFonts w:asciiTheme="minorEastAsia" w:eastAsiaTheme="minorEastAsia" w:hAnsiTheme="minorEastAsia" w:cs="맑은 고딕"/>
          <w:sz w:val="20"/>
          <w:szCs w:val="20"/>
          <w:lang w:eastAsia="ko-KR"/>
        </w:rPr>
        <w:t>.</w:t>
      </w:r>
    </w:p>
    <w:p w14:paraId="38D151D9"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513DC933" w14:textId="77777777" w:rsidR="00E716C4" w:rsidRPr="002C7F14" w:rsidRDefault="00E716C4" w:rsidP="00E716C4">
      <w:pPr>
        <w:pStyle w:val="a8"/>
        <w:numPr>
          <w:ilvl w:val="0"/>
          <w:numId w:val="94"/>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로트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번호</w:t>
      </w:r>
    </w:p>
    <w:p w14:paraId="4A5C7B6C" w14:textId="77777777" w:rsidR="00E716C4" w:rsidRPr="002C7F14" w:rsidRDefault="00E716C4" w:rsidP="00E716C4">
      <w:pPr>
        <w:pStyle w:val="a8"/>
        <w:numPr>
          <w:ilvl w:val="0"/>
          <w:numId w:val="94"/>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제조일</w:t>
      </w:r>
    </w:p>
    <w:p w14:paraId="5BC073FF" w14:textId="58F7CC87" w:rsidR="00E716C4" w:rsidRPr="002C7F14" w:rsidRDefault="00E716C4" w:rsidP="00E716C4">
      <w:pPr>
        <w:pStyle w:val="a8"/>
        <w:numPr>
          <w:ilvl w:val="0"/>
          <w:numId w:val="94"/>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표준시료에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농도의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여부를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검증한</w:t>
      </w:r>
      <w:r w:rsidRPr="002C7F14">
        <w:rPr>
          <w:rFonts w:asciiTheme="minorEastAsia" w:eastAsiaTheme="minorEastAsia" w:hAnsiTheme="minorEastAsia" w:cs="맑은 고딕"/>
          <w:sz w:val="20"/>
          <w:szCs w:val="20"/>
          <w:lang w:eastAsia="ko-KR"/>
        </w:rPr>
        <w:t xml:space="preserve"> HPLC 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결과</w:t>
      </w:r>
    </w:p>
    <w:p w14:paraId="7E497DC4" w14:textId="646AC5EF" w:rsidR="00E716C4" w:rsidRPr="002C7F14" w:rsidRDefault="00E716C4" w:rsidP="00EF791F">
      <w:pPr>
        <w:spacing w:line="264" w:lineRule="auto"/>
        <w:jc w:val="both"/>
        <w:rPr>
          <w:rFonts w:asciiTheme="minorEastAsia" w:eastAsiaTheme="minorEastAsia" w:hAnsiTheme="minorEastAsia" w:cs="맑은 고딕"/>
          <w:sz w:val="20"/>
          <w:szCs w:val="20"/>
          <w:lang w:eastAsia="ko-KR"/>
        </w:rPr>
      </w:pPr>
    </w:p>
    <w:p w14:paraId="6C723508" w14:textId="77777777" w:rsidR="00E716C4" w:rsidRPr="002C7F14" w:rsidRDefault="00E716C4" w:rsidP="00E716C4">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식별자와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맹검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처리된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연결하는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w:t>
      </w:r>
    </w:p>
    <w:p w14:paraId="74696E43"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0BB7F202" w14:textId="77777777" w:rsidR="00E716C4" w:rsidRPr="002C7F14" w:rsidRDefault="00E716C4" w:rsidP="00E716C4">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w:t>
      </w:r>
    </w:p>
    <w:p w14:paraId="2ACBFF55"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6F0F3A17" w14:textId="77777777" w:rsidR="00E716C4" w:rsidRPr="002C7F14" w:rsidRDefault="00E716C4" w:rsidP="00BC5259">
      <w:pPr>
        <w:pStyle w:val="a8"/>
        <w:numPr>
          <w:ilvl w:val="0"/>
          <w:numId w:val="95"/>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피험자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광원의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제조사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일련번호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w:t>
      </w:r>
      <w:r w:rsidRPr="002C7F14">
        <w:rPr>
          <w:rFonts w:asciiTheme="minorEastAsia" w:eastAsiaTheme="minorEastAsia" w:hAnsiTheme="minorEastAsia" w:cs="맑은 고딕"/>
          <w:sz w:val="20"/>
          <w:szCs w:val="20"/>
          <w:lang w:eastAsia="ko-KR"/>
        </w:rPr>
        <w:t>).</w:t>
      </w:r>
    </w:p>
    <w:p w14:paraId="363478DF" w14:textId="77777777" w:rsidR="00E716C4" w:rsidRPr="002C7F14" w:rsidRDefault="00E716C4" w:rsidP="00BC5259">
      <w:pPr>
        <w:pStyle w:val="a8"/>
        <w:numPr>
          <w:ilvl w:val="0"/>
          <w:numId w:val="95"/>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보호되지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(MEDu)</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MED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신원</w:t>
      </w:r>
    </w:p>
    <w:p w14:paraId="160DC7E0" w14:textId="77777777" w:rsidR="00E716C4" w:rsidRPr="002C7F14" w:rsidRDefault="00E716C4" w:rsidP="00BC5259">
      <w:pPr>
        <w:pStyle w:val="a8"/>
        <w:numPr>
          <w:ilvl w:val="0"/>
          <w:numId w:val="95"/>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MED(tpMEDp)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신원</w:t>
      </w:r>
    </w:p>
    <w:p w14:paraId="29B98D15" w14:textId="77777777" w:rsidR="00E716C4" w:rsidRPr="002C7F14" w:rsidRDefault="00E716C4" w:rsidP="00BC5259">
      <w:pPr>
        <w:pStyle w:val="a8"/>
        <w:numPr>
          <w:ilvl w:val="0"/>
          <w:numId w:val="95"/>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MED(ssMEDp)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신원</w:t>
      </w:r>
    </w:p>
    <w:p w14:paraId="4E6614A7" w14:textId="77777777" w:rsidR="00E716C4" w:rsidRPr="002C7F14" w:rsidRDefault="00E716C4" w:rsidP="00BC5259">
      <w:pPr>
        <w:pStyle w:val="a8"/>
        <w:numPr>
          <w:ilvl w:val="0"/>
          <w:numId w:val="95"/>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표준시료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유효하지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데이터를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SPFi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신원</w:t>
      </w:r>
    </w:p>
    <w:p w14:paraId="3D332315"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6DD5C35A" w14:textId="77777777" w:rsidR="00E716C4" w:rsidRPr="002C7F14" w:rsidRDefault="00E716C4" w:rsidP="00BC5259">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M020.80(g)</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도출된</w:t>
      </w:r>
      <w:r w:rsidRPr="002C7F14">
        <w:rPr>
          <w:rFonts w:asciiTheme="minorEastAsia" w:eastAsiaTheme="minorEastAsia" w:hAnsiTheme="minorEastAsia" w:cs="맑은 고딕"/>
          <w:sz w:val="20"/>
          <w:szCs w:val="20"/>
          <w:lang w:eastAsia="ko-KR"/>
        </w:rPr>
        <w:t xml:space="preserve"> SPFi </w:t>
      </w:r>
      <w:r w:rsidRPr="002C7F14">
        <w:rPr>
          <w:rFonts w:asciiTheme="minorEastAsia" w:eastAsiaTheme="minorEastAsia" w:hAnsiTheme="minorEastAsia" w:cs="맑은 고딕" w:hint="eastAsia"/>
          <w:sz w:val="20"/>
          <w:szCs w:val="20"/>
          <w:lang w:eastAsia="ko-KR"/>
        </w:rPr>
        <w:t>값의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표준편차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표준오차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p>
    <w:p w14:paraId="3CB45506"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6D2E8E6F" w14:textId="77777777" w:rsidR="00E716C4" w:rsidRPr="002C7F14" w:rsidRDefault="00E716C4" w:rsidP="00BC5259">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M020.80(h)</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온도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상대습도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내수성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2E1B2E90"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63D61610" w14:textId="77777777" w:rsidR="00E716C4" w:rsidRPr="002C7F14" w:rsidRDefault="00E716C4" w:rsidP="00BC5259">
      <w:pPr>
        <w:pStyle w:val="a8"/>
        <w:numPr>
          <w:ilvl w:val="0"/>
          <w:numId w:val="93"/>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적절한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절차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수립을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M020.80(a)</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입증하는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국한되지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27195628"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120AF70E" w14:textId="77777777" w:rsidR="00E716C4" w:rsidRPr="002C7F14" w:rsidRDefault="00E716C4" w:rsidP="00BC5259">
      <w:pPr>
        <w:pStyle w:val="a8"/>
        <w:numPr>
          <w:ilvl w:val="0"/>
          <w:numId w:val="96"/>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증례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등록된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참가자에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정확한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병력을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준비하고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유지해야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병력은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데이터를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병력에는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증례기록서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뒷받침하는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데이터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날짜를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서명한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동의서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간호사의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메모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해당되는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참가자의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병력은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개인이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참여하기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50</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입각한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받았음을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문서화해야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병력은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9B4823E" w14:textId="77777777" w:rsidR="00E716C4" w:rsidRPr="002C7F14" w:rsidRDefault="00E716C4" w:rsidP="00E716C4">
      <w:pPr>
        <w:spacing w:line="264" w:lineRule="auto"/>
        <w:jc w:val="both"/>
        <w:rPr>
          <w:rFonts w:asciiTheme="minorEastAsia" w:eastAsiaTheme="minorEastAsia" w:hAnsiTheme="minorEastAsia" w:cs="맑은 고딕"/>
          <w:sz w:val="20"/>
          <w:szCs w:val="20"/>
          <w:lang w:eastAsia="ko-KR"/>
        </w:rPr>
      </w:pPr>
    </w:p>
    <w:p w14:paraId="2CF55A2B" w14:textId="77777777" w:rsidR="00E716C4" w:rsidRPr="002C7F14" w:rsidRDefault="00E716C4" w:rsidP="00422924">
      <w:pPr>
        <w:pStyle w:val="a8"/>
        <w:numPr>
          <w:ilvl w:val="0"/>
          <w:numId w:val="97"/>
        </w:numPr>
        <w:spacing w:line="264" w:lineRule="auto"/>
        <w:ind w:leftChars="0" w:left="127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프로토콜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편차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부상</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w:t>
      </w:r>
    </w:p>
    <w:p w14:paraId="5B90EEB3" w14:textId="77777777" w:rsidR="00E716C4" w:rsidRPr="002C7F14" w:rsidRDefault="00E716C4" w:rsidP="00422924">
      <w:pPr>
        <w:spacing w:line="264" w:lineRule="auto"/>
        <w:ind w:left="1276"/>
        <w:jc w:val="both"/>
        <w:rPr>
          <w:rFonts w:asciiTheme="minorEastAsia" w:eastAsiaTheme="minorEastAsia" w:hAnsiTheme="minorEastAsia" w:cs="맑은 고딕"/>
          <w:sz w:val="20"/>
          <w:szCs w:val="20"/>
          <w:lang w:eastAsia="ko-KR"/>
        </w:rPr>
      </w:pPr>
    </w:p>
    <w:p w14:paraId="6F383F42" w14:textId="62222304" w:rsidR="00E716C4" w:rsidRPr="002C7F14" w:rsidRDefault="00E716C4" w:rsidP="00422924">
      <w:pPr>
        <w:pStyle w:val="a8"/>
        <w:numPr>
          <w:ilvl w:val="0"/>
          <w:numId w:val="97"/>
        </w:numPr>
        <w:spacing w:line="264" w:lineRule="auto"/>
        <w:ind w:leftChars="0" w:left="127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잠재적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영역을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무게를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UV</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w:t>
      </w:r>
    </w:p>
    <w:p w14:paraId="3011C241" w14:textId="3455FF65" w:rsidR="00E716C4" w:rsidRPr="002C7F14" w:rsidRDefault="00E716C4" w:rsidP="00EF791F">
      <w:pPr>
        <w:spacing w:line="264" w:lineRule="auto"/>
        <w:jc w:val="both"/>
        <w:rPr>
          <w:rFonts w:asciiTheme="minorEastAsia" w:eastAsiaTheme="minorEastAsia" w:hAnsiTheme="minorEastAsia" w:cs="맑은 고딕"/>
          <w:sz w:val="20"/>
          <w:szCs w:val="20"/>
          <w:lang w:eastAsia="ko-KR"/>
        </w:rPr>
      </w:pPr>
    </w:p>
    <w:p w14:paraId="53C27FA8" w14:textId="77777777" w:rsidR="00F42088" w:rsidRPr="002C7F14" w:rsidRDefault="00F42088" w:rsidP="00F42088">
      <w:pPr>
        <w:pStyle w:val="a8"/>
        <w:numPr>
          <w:ilvl w:val="0"/>
          <w:numId w:val="96"/>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IRB </w:t>
      </w:r>
      <w:r w:rsidRPr="002C7F14">
        <w:rPr>
          <w:rFonts w:asciiTheme="minorEastAsia" w:eastAsiaTheme="minorEastAsia" w:hAnsiTheme="minorEastAsia" w:cs="맑은 고딕" w:hint="eastAsia"/>
          <w:sz w:val="20"/>
          <w:szCs w:val="20"/>
          <w:lang w:eastAsia="ko-KR"/>
        </w:rPr>
        <w:t>심사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M020.80(a)(3)</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등록된</w:t>
      </w:r>
      <w:r w:rsidRPr="002C7F14">
        <w:rPr>
          <w:rFonts w:asciiTheme="minorEastAsia" w:eastAsiaTheme="minorEastAsia" w:hAnsiTheme="minorEastAsia" w:cs="맑은 고딕"/>
          <w:sz w:val="20"/>
          <w:szCs w:val="20"/>
          <w:lang w:eastAsia="ko-KR"/>
        </w:rPr>
        <w:t xml:space="preserve"> IRB</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심사·승인되었다는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w:t>
      </w:r>
    </w:p>
    <w:p w14:paraId="67A82ED0"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3A18D926" w14:textId="77777777" w:rsidR="00F42088" w:rsidRPr="002C7F14" w:rsidRDefault="00F42088" w:rsidP="00F42088">
      <w:pPr>
        <w:pStyle w:val="a8"/>
        <w:numPr>
          <w:ilvl w:val="0"/>
          <w:numId w:val="9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664F5CBF"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0DA5F257" w14:textId="77777777" w:rsidR="00F42088"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시험이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시설의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이름과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w:t>
      </w:r>
      <w:r w:rsidRPr="002C7F14">
        <w:rPr>
          <w:rFonts w:asciiTheme="minorEastAsia" w:eastAsiaTheme="minorEastAsia" w:hAnsiTheme="minorEastAsia" w:cs="맑은 고딕"/>
          <w:sz w:val="20"/>
          <w:szCs w:val="20"/>
          <w:lang w:eastAsia="ko-KR"/>
        </w:rPr>
        <w:t>)</w:t>
      </w:r>
    </w:p>
    <w:p w14:paraId="324EBD1C" w14:textId="77777777" w:rsidR="00F42088" w:rsidRPr="002C7F14" w:rsidRDefault="00F42088" w:rsidP="00F42088">
      <w:pPr>
        <w:spacing w:line="264" w:lineRule="auto"/>
        <w:ind w:left="426"/>
        <w:jc w:val="both"/>
        <w:rPr>
          <w:rFonts w:asciiTheme="minorEastAsia" w:eastAsiaTheme="minorEastAsia" w:hAnsiTheme="minorEastAsia" w:cs="맑은 고딕"/>
          <w:sz w:val="20"/>
          <w:szCs w:val="20"/>
          <w:lang w:eastAsia="ko-KR"/>
        </w:rPr>
      </w:pPr>
    </w:p>
    <w:p w14:paraId="11B9BC48" w14:textId="77777777" w:rsidR="00F42088"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w:t>
      </w:r>
    </w:p>
    <w:p w14:paraId="1D78D938"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403202A0" w14:textId="77777777" w:rsidR="00F42088" w:rsidRPr="002C7F14" w:rsidRDefault="00F42088" w:rsidP="00D2266B">
      <w:pPr>
        <w:pStyle w:val="a8"/>
        <w:numPr>
          <w:ilvl w:val="0"/>
          <w:numId w:val="99"/>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예상</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맹검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처리된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재식별할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마스터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키를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식별자와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연결하는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마스터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키를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99B8053" w14:textId="77777777" w:rsidR="00F42088" w:rsidRPr="002C7F14" w:rsidRDefault="00F42088" w:rsidP="00D2266B">
      <w:pPr>
        <w:pStyle w:val="a8"/>
        <w:numPr>
          <w:ilvl w:val="0"/>
          <w:numId w:val="99"/>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번호</w:t>
      </w:r>
    </w:p>
    <w:p w14:paraId="3D96E5F1" w14:textId="77777777" w:rsidR="00F42088" w:rsidRPr="002C7F14" w:rsidRDefault="00F42088" w:rsidP="00D2266B">
      <w:pPr>
        <w:pStyle w:val="a8"/>
        <w:numPr>
          <w:ilvl w:val="0"/>
          <w:numId w:val="99"/>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식별자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코드</w:t>
      </w:r>
    </w:p>
    <w:p w14:paraId="610016B4" w14:textId="77777777" w:rsidR="00F42088" w:rsidRPr="002C7F14" w:rsidRDefault="00F42088" w:rsidP="00D2266B">
      <w:pPr>
        <w:pStyle w:val="a8"/>
        <w:numPr>
          <w:ilvl w:val="0"/>
          <w:numId w:val="99"/>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PMMA </w:t>
      </w:r>
      <w:r w:rsidRPr="002C7F14">
        <w:rPr>
          <w:rFonts w:asciiTheme="minorEastAsia" w:eastAsiaTheme="minorEastAsia" w:hAnsiTheme="minorEastAsia" w:cs="맑은 고딕" w:hint="eastAsia"/>
          <w:sz w:val="20"/>
          <w:szCs w:val="20"/>
          <w:lang w:eastAsia="ko-KR"/>
        </w:rPr>
        <w:t>플레이트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마이크로미터</w:t>
      </w:r>
      <w:r w:rsidRPr="002C7F14">
        <w:rPr>
          <w:rFonts w:asciiTheme="minorEastAsia" w:eastAsiaTheme="minorEastAsia" w:hAnsiTheme="minorEastAsia" w:cs="맑은 고딕"/>
          <w:sz w:val="20"/>
          <w:szCs w:val="20"/>
          <w:lang w:eastAsia="ko-KR"/>
        </w:rPr>
        <w:t>)</w:t>
      </w:r>
    </w:p>
    <w:p w14:paraId="5B73F485" w14:textId="77777777" w:rsidR="00F42088" w:rsidRPr="002C7F14" w:rsidRDefault="00F42088" w:rsidP="00D2266B">
      <w:pPr>
        <w:pStyle w:val="a8"/>
        <w:numPr>
          <w:ilvl w:val="0"/>
          <w:numId w:val="99"/>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홀더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방향</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수직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수평</w:t>
      </w:r>
      <w:r w:rsidRPr="002C7F14">
        <w:rPr>
          <w:rFonts w:asciiTheme="minorEastAsia" w:eastAsiaTheme="minorEastAsia" w:hAnsiTheme="minorEastAsia" w:cs="맑은 고딕"/>
          <w:sz w:val="20"/>
          <w:szCs w:val="20"/>
          <w:lang w:eastAsia="ko-KR"/>
        </w:rPr>
        <w:t>).</w:t>
      </w:r>
    </w:p>
    <w:p w14:paraId="0A787932"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4ACE35B3" w14:textId="77777777" w:rsidR="00F42088"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선조사에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UV </w:t>
      </w:r>
      <w:r w:rsidRPr="002C7F14">
        <w:rPr>
          <w:rFonts w:asciiTheme="minorEastAsia" w:eastAsiaTheme="minorEastAsia" w:hAnsiTheme="minorEastAsia" w:cs="맑은 고딕" w:hint="eastAsia"/>
          <w:sz w:val="20"/>
          <w:szCs w:val="20"/>
          <w:lang w:eastAsia="ko-KR"/>
        </w:rPr>
        <w:t>광원의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제조사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일련번호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w:t>
      </w:r>
      <w:r w:rsidRPr="002C7F14">
        <w:rPr>
          <w:rFonts w:asciiTheme="minorEastAsia" w:eastAsiaTheme="minorEastAsia" w:hAnsiTheme="minorEastAsia" w:cs="맑은 고딕"/>
          <w:sz w:val="20"/>
          <w:szCs w:val="20"/>
          <w:lang w:eastAsia="ko-KR"/>
        </w:rPr>
        <w:t>)</w:t>
      </w:r>
    </w:p>
    <w:p w14:paraId="63EEF941"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61DD1BA9" w14:textId="77777777" w:rsidR="00F42088"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w:t>
      </w:r>
    </w:p>
    <w:p w14:paraId="7A7B158E"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5EF6EFC1" w14:textId="77777777" w:rsidR="00F42088" w:rsidRPr="002C7F14" w:rsidRDefault="00F42088" w:rsidP="00D2266B">
      <w:pPr>
        <w:pStyle w:val="a8"/>
        <w:numPr>
          <w:ilvl w:val="0"/>
          <w:numId w:val="100"/>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분석저울을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무게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4258B307" w14:textId="77777777" w:rsidR="00F42088" w:rsidRPr="002C7F14" w:rsidRDefault="00F42088" w:rsidP="00D2266B">
      <w:pPr>
        <w:pStyle w:val="a8"/>
        <w:numPr>
          <w:ilvl w:val="0"/>
          <w:numId w:val="100"/>
        </w:numPr>
        <w:tabs>
          <w:tab w:val="left" w:pos="1276"/>
        </w:tabs>
        <w:spacing w:line="264" w:lineRule="auto"/>
        <w:ind w:leftChars="0" w:left="851"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사용된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제조사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일련번호</w:t>
      </w:r>
    </w:p>
    <w:p w14:paraId="5FD8ED4E"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2014BA68" w14:textId="77777777" w:rsidR="00F42088"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M020.90(d) ~ (f)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측정값</w:t>
      </w:r>
    </w:p>
    <w:p w14:paraId="563FDEED"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6B581E4F" w14:textId="77777777" w:rsidR="00F42088"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M020.90(g)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(h)</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UVA I/UV </w:t>
      </w:r>
      <w:r w:rsidRPr="002C7F14">
        <w:rPr>
          <w:rFonts w:asciiTheme="minorEastAsia" w:eastAsiaTheme="minorEastAsia" w:hAnsiTheme="minorEastAsia" w:cs="맑은 고딕" w:hint="eastAsia"/>
          <w:sz w:val="20"/>
          <w:szCs w:val="20"/>
          <w:lang w:eastAsia="ko-KR"/>
        </w:rPr>
        <w:t>비율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p>
    <w:p w14:paraId="2E8FB257" w14:textId="77777777" w:rsidR="00F42088" w:rsidRPr="002C7F14" w:rsidRDefault="00F42088" w:rsidP="00F42088">
      <w:pPr>
        <w:spacing w:line="264" w:lineRule="auto"/>
        <w:jc w:val="both"/>
        <w:rPr>
          <w:rFonts w:asciiTheme="minorEastAsia" w:eastAsiaTheme="minorEastAsia" w:hAnsiTheme="minorEastAsia" w:cs="맑은 고딕"/>
          <w:sz w:val="20"/>
          <w:szCs w:val="20"/>
          <w:lang w:eastAsia="ko-KR"/>
        </w:rPr>
      </w:pPr>
    </w:p>
    <w:p w14:paraId="62339FFA" w14:textId="59B96DF9" w:rsidR="00E716C4" w:rsidRPr="002C7F14" w:rsidRDefault="00F42088"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칭량하고</w:t>
      </w:r>
      <w:r w:rsidRPr="002C7F14">
        <w:rPr>
          <w:rFonts w:asciiTheme="minorEastAsia" w:eastAsiaTheme="minorEastAsia" w:hAnsiTheme="minorEastAsia" w:cs="맑은 고딕"/>
          <w:sz w:val="20"/>
          <w:szCs w:val="20"/>
          <w:lang w:eastAsia="ko-KR"/>
        </w:rPr>
        <w:t xml:space="preserve"> PMMA </w:t>
      </w:r>
      <w:r w:rsidRPr="002C7F14">
        <w:rPr>
          <w:rFonts w:asciiTheme="minorEastAsia" w:eastAsiaTheme="minorEastAsia" w:hAnsiTheme="minorEastAsia" w:cs="맑은 고딕" w:hint="eastAsia"/>
          <w:sz w:val="20"/>
          <w:szCs w:val="20"/>
          <w:lang w:eastAsia="ko-KR"/>
        </w:rPr>
        <w:t>플레이트에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도포한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선조사를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실시한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인력의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소프트웨어로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UVA I/UV</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계산한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소프트웨어의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p>
    <w:p w14:paraId="5142B200" w14:textId="06B37A8D" w:rsidR="00E716C4" w:rsidRPr="002C7F14" w:rsidRDefault="00E716C4" w:rsidP="00EF791F">
      <w:pPr>
        <w:spacing w:line="264" w:lineRule="auto"/>
        <w:jc w:val="both"/>
        <w:rPr>
          <w:rFonts w:asciiTheme="minorEastAsia" w:eastAsiaTheme="minorEastAsia" w:hAnsiTheme="minorEastAsia" w:cs="맑은 고딕"/>
          <w:sz w:val="20"/>
          <w:szCs w:val="20"/>
          <w:lang w:eastAsia="ko-KR"/>
        </w:rPr>
      </w:pPr>
    </w:p>
    <w:p w14:paraId="48591166" w14:textId="77777777" w:rsidR="004F788B" w:rsidRPr="002C7F14" w:rsidRDefault="004F788B" w:rsidP="00D2266B">
      <w:pPr>
        <w:pStyle w:val="a8"/>
        <w:numPr>
          <w:ilvl w:val="0"/>
          <w:numId w:val="98"/>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날짜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샘플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양식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데이터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데이터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투과율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흡광도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엑셀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파일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메모</w:t>
      </w:r>
      <w:r w:rsidRPr="002C7F14">
        <w:rPr>
          <w:rFonts w:asciiTheme="minorEastAsia" w:eastAsiaTheme="minorEastAsia" w:hAnsiTheme="minorEastAsia" w:cs="맑은 고딕"/>
          <w:sz w:val="20"/>
          <w:szCs w:val="20"/>
          <w:lang w:eastAsia="ko-KR"/>
        </w:rPr>
        <w:t>)</w:t>
      </w:r>
    </w:p>
    <w:p w14:paraId="1BFD4DF3" w14:textId="77777777" w:rsidR="004F788B" w:rsidRPr="002C7F14" w:rsidRDefault="004F788B" w:rsidP="004F788B">
      <w:pPr>
        <w:spacing w:line="264" w:lineRule="auto"/>
        <w:jc w:val="both"/>
        <w:rPr>
          <w:rFonts w:asciiTheme="minorEastAsia" w:eastAsiaTheme="minorEastAsia" w:hAnsiTheme="minorEastAsia" w:cs="맑은 고딕"/>
          <w:sz w:val="20"/>
          <w:szCs w:val="20"/>
          <w:lang w:eastAsia="ko-KR"/>
        </w:rPr>
      </w:pPr>
    </w:p>
    <w:p w14:paraId="5FA41939" w14:textId="77777777" w:rsidR="004F788B" w:rsidRPr="002C7F14" w:rsidRDefault="004F788B" w:rsidP="004F788B">
      <w:pPr>
        <w:pStyle w:val="a8"/>
        <w:numPr>
          <w:ilvl w:val="0"/>
          <w:numId w:val="90"/>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식품의약국의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검사</w:t>
      </w:r>
    </w:p>
    <w:p w14:paraId="35689785" w14:textId="77777777" w:rsidR="004F788B" w:rsidRPr="002C7F14" w:rsidRDefault="004F788B" w:rsidP="004F788B">
      <w:pPr>
        <w:spacing w:line="264" w:lineRule="auto"/>
        <w:jc w:val="both"/>
        <w:rPr>
          <w:rFonts w:asciiTheme="minorEastAsia" w:eastAsiaTheme="minorEastAsia" w:hAnsiTheme="minorEastAsia" w:cs="맑은 고딕"/>
          <w:sz w:val="20"/>
          <w:szCs w:val="20"/>
          <w:lang w:eastAsia="ko-KR"/>
        </w:rPr>
      </w:pPr>
    </w:p>
    <w:p w14:paraId="08898DCE" w14:textId="77777777" w:rsidR="004F788B" w:rsidRPr="002C7F14" w:rsidRDefault="004F788B" w:rsidP="00D2266B">
      <w:pPr>
        <w:pStyle w:val="a8"/>
        <w:numPr>
          <w:ilvl w:val="0"/>
          <w:numId w:val="101"/>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받은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비롯하여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승인된</w:t>
      </w:r>
      <w:r w:rsidRPr="002C7F14">
        <w:rPr>
          <w:rFonts w:asciiTheme="minorEastAsia" w:eastAsiaTheme="minorEastAsia" w:hAnsiTheme="minorEastAsia" w:cs="맑은 고딕"/>
          <w:sz w:val="20"/>
          <w:szCs w:val="20"/>
          <w:lang w:eastAsia="ko-KR"/>
        </w:rPr>
        <w:t xml:space="preserve"> FDA </w:t>
      </w:r>
      <w:r w:rsidRPr="002C7F14">
        <w:rPr>
          <w:rFonts w:asciiTheme="minorEastAsia" w:eastAsiaTheme="minorEastAsia" w:hAnsiTheme="minorEastAsia" w:cs="맑은 고딕" w:hint="eastAsia"/>
          <w:sz w:val="20"/>
          <w:szCs w:val="20"/>
          <w:lang w:eastAsia="ko-KR"/>
        </w:rPr>
        <w:t>담당관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요청이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합리적인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담당관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직원이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접근하고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사본을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확보하며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자세한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실제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실제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결과를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나타내지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믿을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만한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이유가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피험자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공개할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없다</w:t>
      </w:r>
      <w:r w:rsidRPr="002C7F14">
        <w:rPr>
          <w:rFonts w:asciiTheme="minorEastAsia" w:eastAsiaTheme="minorEastAsia" w:hAnsiTheme="minorEastAsia" w:cs="맑은 고딕"/>
          <w:sz w:val="20"/>
          <w:szCs w:val="20"/>
          <w:lang w:eastAsia="ko-KR"/>
        </w:rPr>
        <w:t>.</w:t>
      </w:r>
    </w:p>
    <w:p w14:paraId="2011CC10" w14:textId="77777777" w:rsidR="004F788B" w:rsidRPr="002C7F14" w:rsidRDefault="004F788B" w:rsidP="004F788B">
      <w:pPr>
        <w:spacing w:line="264" w:lineRule="auto"/>
        <w:jc w:val="both"/>
        <w:rPr>
          <w:rFonts w:asciiTheme="minorEastAsia" w:eastAsiaTheme="minorEastAsia" w:hAnsiTheme="minorEastAsia" w:cs="맑은 고딕"/>
          <w:sz w:val="20"/>
          <w:szCs w:val="20"/>
          <w:lang w:eastAsia="ko-KR"/>
        </w:rPr>
      </w:pPr>
    </w:p>
    <w:p w14:paraId="2E7130D1" w14:textId="65CE4C70" w:rsidR="00E716C4" w:rsidRPr="002C7F14" w:rsidRDefault="004F788B" w:rsidP="00D2266B">
      <w:pPr>
        <w:pStyle w:val="a8"/>
        <w:numPr>
          <w:ilvl w:val="0"/>
          <w:numId w:val="101"/>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책임자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승인된</w:t>
      </w:r>
      <w:r w:rsidRPr="002C7F14">
        <w:rPr>
          <w:rFonts w:asciiTheme="minorEastAsia" w:eastAsiaTheme="minorEastAsia" w:hAnsiTheme="minorEastAsia" w:cs="맑은 고딕"/>
          <w:sz w:val="20"/>
          <w:szCs w:val="20"/>
          <w:lang w:eastAsia="ko-KR"/>
        </w:rPr>
        <w:t xml:space="preserve"> FDA </w:t>
      </w:r>
      <w:r w:rsidRPr="002C7F14">
        <w:rPr>
          <w:rFonts w:asciiTheme="minorEastAsia" w:eastAsiaTheme="minorEastAsia" w:hAnsiTheme="minorEastAsia" w:cs="맑은 고딕" w:hint="eastAsia"/>
          <w:sz w:val="20"/>
          <w:szCs w:val="20"/>
          <w:lang w:eastAsia="ko-KR"/>
        </w:rPr>
        <w:t>담당관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요청이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합리적인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담당관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직원이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수행된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접근하고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사본을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확보하며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FDA</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서면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요청이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기록이나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사본</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FDA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책임자는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M020.110</w:t>
      </w:r>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보고서를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보관하지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못한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시험자의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참여하지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못하도록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BECEDA8" w14:textId="7C54DE8E" w:rsidR="004F788B" w:rsidRPr="002C7F14" w:rsidRDefault="004F788B">
      <w:pPr>
        <w:widowControl/>
        <w:autoSpaceDE/>
        <w:autoSpaceDN/>
        <w:spacing w:after="160" w:line="259"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br w:type="page"/>
      </w:r>
    </w:p>
    <w:p w14:paraId="46E685D2" w14:textId="3D80DD8B" w:rsidR="00D2266B" w:rsidRPr="002C7F14" w:rsidRDefault="00D2266B" w:rsidP="00D2266B">
      <w:pPr>
        <w:spacing w:line="264" w:lineRule="auto"/>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M016: </w:t>
      </w:r>
      <w:r w:rsidRPr="002C7F14">
        <w:rPr>
          <w:rFonts w:asciiTheme="minorEastAsia" w:eastAsiaTheme="minorEastAsia" w:hAnsiTheme="minorEastAsia" w:cs="맑은 고딕" w:hint="eastAsia"/>
          <w:sz w:val="20"/>
          <w:szCs w:val="20"/>
          <w:lang w:eastAsia="ko-KR"/>
        </w:rPr>
        <w:t>인체용</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개정할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제안한다</w:t>
      </w:r>
      <w:r w:rsidRPr="002C7F14">
        <w:rPr>
          <w:rFonts w:asciiTheme="minorEastAsia" w:eastAsiaTheme="minorEastAsia" w:hAnsiTheme="minorEastAsia" w:cs="맑은 고딕"/>
          <w:sz w:val="20"/>
          <w:szCs w:val="20"/>
          <w:lang w:eastAsia="ko-KR"/>
        </w:rPr>
        <w:t>.</w:t>
      </w:r>
    </w:p>
    <w:p w14:paraId="13BFFF35"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14A896FE" w14:textId="1D2854B7" w:rsidR="00D2266B" w:rsidRPr="002C7F14" w:rsidRDefault="00D2266B" w:rsidP="00D2266B">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미국</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식품의약국</w:t>
      </w:r>
    </w:p>
    <w:p w14:paraId="2F46A0BC" w14:textId="77777777" w:rsidR="00D2266B" w:rsidRPr="002C7F14" w:rsidRDefault="00D2266B" w:rsidP="00D2266B">
      <w:pPr>
        <w:spacing w:line="264" w:lineRule="auto"/>
        <w:jc w:val="both"/>
        <w:rPr>
          <w:rFonts w:asciiTheme="minorEastAsia" w:eastAsiaTheme="minorEastAsia" w:hAnsiTheme="minorEastAsia" w:cs="맑은 고딕"/>
          <w:b/>
          <w:sz w:val="20"/>
          <w:szCs w:val="20"/>
          <w:lang w:eastAsia="ko-KR"/>
        </w:rPr>
      </w:pPr>
    </w:p>
    <w:p w14:paraId="22B54F9D" w14:textId="77777777" w:rsidR="00D2266B" w:rsidRPr="002C7F14" w:rsidRDefault="00D2266B" w:rsidP="00D2266B">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일반의약품</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모노그래프</w:t>
      </w:r>
      <w:r w:rsidRPr="002C7F14">
        <w:rPr>
          <w:rFonts w:asciiTheme="minorEastAsia" w:eastAsiaTheme="minorEastAsia" w:hAnsiTheme="minorEastAsia" w:cs="맑은 고딕"/>
          <w:b/>
          <w:sz w:val="20"/>
          <w:szCs w:val="20"/>
          <w:lang w:eastAsia="ko-KR"/>
        </w:rPr>
        <w:t xml:space="preserve"> M016:</w:t>
      </w:r>
    </w:p>
    <w:p w14:paraId="20BBFC80" w14:textId="77777777" w:rsidR="00D2266B" w:rsidRPr="002C7F14" w:rsidRDefault="00D2266B" w:rsidP="00D2266B">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인체용</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일반의약품</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피부</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보호</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의약품</w:t>
      </w:r>
    </w:p>
    <w:p w14:paraId="66D27265"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327B79DD" w14:textId="77777777" w:rsidR="00D2266B" w:rsidRPr="002C7F14" w:rsidRDefault="00D2266B" w:rsidP="00D2266B">
      <w:pPr>
        <w:pStyle w:val="a8"/>
        <w:numPr>
          <w:ilvl w:val="0"/>
          <w:numId w:val="102"/>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M016.20(e)</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개정한다</w:t>
      </w:r>
      <w:r w:rsidRPr="002C7F14">
        <w:rPr>
          <w:rFonts w:asciiTheme="minorEastAsia" w:eastAsiaTheme="minorEastAsia" w:hAnsiTheme="minorEastAsia" w:cs="맑은 고딕"/>
          <w:sz w:val="20"/>
          <w:szCs w:val="20"/>
          <w:lang w:eastAsia="ko-KR"/>
        </w:rPr>
        <w:t>.</w:t>
      </w:r>
    </w:p>
    <w:p w14:paraId="45FEDFB6"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5DD92D72" w14:textId="77777777" w:rsidR="00D2266B" w:rsidRPr="002C7F14" w:rsidRDefault="00D2266B" w:rsidP="00D2266B">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 * * * *</w:t>
      </w:r>
    </w:p>
    <w:p w14:paraId="6FB15091"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006CC8EF"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M016.20</w:t>
      </w:r>
    </w:p>
    <w:p w14:paraId="68652ED8"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0CC31341" w14:textId="0105BAA5"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M020.20(b)</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M016.10(a), (d), (e), (g), (h), (i), (k), (l), (m)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(r)</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조합에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두</w:t>
      </w:r>
      <w:r w:rsidR="002C7F14" w:rsidRPr="002C7F14">
        <w:rPr>
          <w:rFonts w:asciiTheme="minorEastAsia" w:eastAsiaTheme="minorEastAsia" w:hAnsiTheme="minorEastAsia" w:cs="맑은 고딕" w:hint="eastAsia"/>
          <w:sz w:val="20"/>
          <w:szCs w:val="20"/>
          <w:lang w:eastAsia="ko-KR"/>
        </w:rPr>
        <w:t xml:space="preserve"> </w:t>
      </w:r>
      <w:r w:rsidRPr="002C7F14">
        <w:rPr>
          <w:rFonts w:asciiTheme="minorEastAsia" w:eastAsiaTheme="minorEastAsia" w:hAnsiTheme="minorEastAsia" w:cs="맑은 고딕" w:hint="eastAsia"/>
          <w:sz w:val="20"/>
          <w:szCs w:val="20"/>
          <w:lang w:eastAsia="ko-KR"/>
        </w:rPr>
        <w:t>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이상을</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M020.10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단일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M020.20(a)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32C64A14"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7C14B435" w14:textId="77777777" w:rsidR="00D2266B" w:rsidRPr="002C7F14" w:rsidRDefault="00D2266B" w:rsidP="00D2266B">
      <w:pPr>
        <w:pStyle w:val="a8"/>
        <w:numPr>
          <w:ilvl w:val="0"/>
          <w:numId w:val="102"/>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(b)</w:t>
      </w:r>
      <w:r w:rsidRPr="002C7F14">
        <w:rPr>
          <w:rFonts w:asciiTheme="minorEastAsia" w:eastAsiaTheme="minorEastAsia" w:hAnsiTheme="minorEastAsia" w:cs="맑은 고딕" w:hint="eastAsia"/>
          <w:sz w:val="20"/>
          <w:szCs w:val="20"/>
          <w:lang w:eastAsia="ko-KR"/>
        </w:rPr>
        <w:t>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수정하여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개정한다</w:t>
      </w:r>
      <w:r w:rsidRPr="002C7F14">
        <w:rPr>
          <w:rFonts w:asciiTheme="minorEastAsia" w:eastAsiaTheme="minorEastAsia" w:hAnsiTheme="minorEastAsia" w:cs="맑은 고딕"/>
          <w:sz w:val="20"/>
          <w:szCs w:val="20"/>
          <w:lang w:eastAsia="ko-KR"/>
        </w:rPr>
        <w:t>.</w:t>
      </w:r>
    </w:p>
    <w:p w14:paraId="41525861"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0F155649"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(b)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적절하게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확립된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진실되고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소지가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330.1(c)(2)</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409BE837"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38285A93" w14:textId="77777777" w:rsidR="00D2266B" w:rsidRPr="002C7F14" w:rsidRDefault="00D2266B" w:rsidP="00D2266B">
      <w:pPr>
        <w:spacing w:line="264" w:lineRule="auto"/>
        <w:ind w:leftChars="193" w:left="425"/>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 * *</w:t>
      </w:r>
    </w:p>
    <w:p w14:paraId="7F279603"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2CB2DE69" w14:textId="77777777" w:rsidR="00D2266B" w:rsidRPr="002C7F14" w:rsidRDefault="00D2266B" w:rsidP="00D2266B">
      <w:pPr>
        <w:pStyle w:val="a8"/>
        <w:numPr>
          <w:ilvl w:val="0"/>
          <w:numId w:val="102"/>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(a)</w:t>
      </w:r>
      <w:r w:rsidRPr="002C7F14">
        <w:rPr>
          <w:rFonts w:asciiTheme="minorEastAsia" w:eastAsiaTheme="minorEastAsia" w:hAnsiTheme="minorEastAsia" w:cs="맑은 고딕" w:hint="eastAsia"/>
          <w:sz w:val="20"/>
          <w:szCs w:val="20"/>
          <w:lang w:eastAsia="ko-KR"/>
        </w:rPr>
        <w:t>항</w:t>
      </w:r>
      <w:r w:rsidRPr="002C7F14">
        <w:rPr>
          <w:rFonts w:asciiTheme="minorEastAsia" w:eastAsiaTheme="minorEastAsia" w:hAnsiTheme="minorEastAsia" w:cs="맑은 고딕"/>
          <w:sz w:val="20"/>
          <w:szCs w:val="20"/>
          <w:lang w:eastAsia="ko-KR"/>
        </w:rPr>
        <w:t>, (b)(3)</w:t>
      </w:r>
      <w:r w:rsidRPr="002C7F14">
        <w:rPr>
          <w:rFonts w:asciiTheme="minorEastAsia" w:eastAsiaTheme="minorEastAsia" w:hAnsiTheme="minorEastAsia" w:cs="맑은 고딕" w:hint="eastAsia"/>
          <w:sz w:val="20"/>
          <w:szCs w:val="20"/>
          <w:lang w:eastAsia="ko-KR"/>
        </w:rPr>
        <w:t>항</w:t>
      </w:r>
      <w:r w:rsidRPr="002C7F14">
        <w:rPr>
          <w:rFonts w:asciiTheme="minorEastAsia" w:eastAsiaTheme="minorEastAsia" w:hAnsiTheme="minorEastAsia" w:cs="맑은 고딕"/>
          <w:sz w:val="20"/>
          <w:szCs w:val="20"/>
          <w:lang w:eastAsia="ko-KR"/>
        </w:rPr>
        <w:t>, (c)(1)</w:t>
      </w:r>
      <w:r w:rsidRPr="002C7F14">
        <w:rPr>
          <w:rFonts w:asciiTheme="minorEastAsia" w:eastAsiaTheme="minorEastAsia" w:hAnsiTheme="minorEastAsia" w:cs="맑은 고딕" w:hint="eastAsia"/>
          <w:sz w:val="20"/>
          <w:szCs w:val="20"/>
          <w:lang w:eastAsia="ko-KR"/>
        </w:rPr>
        <w:t>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(d)(1)</w:t>
      </w:r>
      <w:r w:rsidRPr="002C7F14">
        <w:rPr>
          <w:rFonts w:asciiTheme="minorEastAsia" w:eastAsiaTheme="minorEastAsia" w:hAnsiTheme="minorEastAsia" w:cs="맑은 고딕" w:hint="eastAsia"/>
          <w:sz w:val="20"/>
          <w:szCs w:val="20"/>
          <w:lang w:eastAsia="ko-KR"/>
        </w:rPr>
        <w:t>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수정하여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개정한다</w:t>
      </w:r>
      <w:r w:rsidRPr="002C7F14">
        <w:rPr>
          <w:rFonts w:asciiTheme="minorEastAsia" w:eastAsiaTheme="minorEastAsia" w:hAnsiTheme="minorEastAsia" w:cs="맑은 고딕"/>
          <w:sz w:val="20"/>
          <w:szCs w:val="20"/>
          <w:lang w:eastAsia="ko-KR"/>
        </w:rPr>
        <w:t>.</w:t>
      </w:r>
    </w:p>
    <w:p w14:paraId="650B3C95"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7B20032E" w14:textId="77777777" w:rsidR="00D2266B" w:rsidRPr="002C7F14" w:rsidRDefault="00D2266B" w:rsidP="00D2266B">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M016.60 </w:t>
      </w:r>
      <w:r w:rsidRPr="002C7F14">
        <w:rPr>
          <w:rFonts w:asciiTheme="minorEastAsia" w:eastAsiaTheme="minorEastAsia" w:hAnsiTheme="minorEastAsia" w:cs="맑은 고딕" w:hint="eastAsia"/>
          <w:b/>
          <w:sz w:val="20"/>
          <w:szCs w:val="20"/>
          <w:lang w:eastAsia="ko-KR"/>
        </w:rPr>
        <w:t>허용된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활성성분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조합의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라벨링</w:t>
      </w:r>
      <w:r w:rsidRPr="002C7F14">
        <w:rPr>
          <w:rFonts w:asciiTheme="minorEastAsia" w:eastAsiaTheme="minorEastAsia" w:hAnsiTheme="minorEastAsia" w:cs="맑은 고딕"/>
          <w:b/>
          <w:sz w:val="20"/>
          <w:szCs w:val="20"/>
          <w:lang w:eastAsia="ko-KR"/>
        </w:rPr>
        <w:t xml:space="preserve"> </w:t>
      </w:r>
    </w:p>
    <w:p w14:paraId="162700DD"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7158C937"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 * * *</w:t>
      </w:r>
    </w:p>
    <w:p w14:paraId="762C4640" w14:textId="77777777" w:rsidR="00D2266B" w:rsidRPr="002C7F14" w:rsidRDefault="00D2266B" w:rsidP="00D2266B">
      <w:pPr>
        <w:pStyle w:val="a8"/>
        <w:numPr>
          <w:ilvl w:val="0"/>
          <w:numId w:val="103"/>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제품식별명</w:t>
      </w:r>
      <w:r w:rsidRPr="002C7F14">
        <w:rPr>
          <w:rFonts w:asciiTheme="minorEastAsia" w:eastAsiaTheme="minorEastAsia" w:hAnsiTheme="minorEastAsia" w:cs="맑은 고딕"/>
          <w:sz w:val="20"/>
          <w:szCs w:val="20"/>
          <w:lang w:eastAsia="ko-KR"/>
        </w:rPr>
        <w:t>.</w:t>
      </w:r>
    </w:p>
    <w:p w14:paraId="1B900E72"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5EEAE672" w14:textId="0086F55F" w:rsidR="00E716C4" w:rsidRPr="002C7F14" w:rsidRDefault="00D2266B" w:rsidP="00D2266B">
      <w:pPr>
        <w:pStyle w:val="a8"/>
        <w:numPr>
          <w:ilvl w:val="0"/>
          <w:numId w:val="104"/>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M016.60(a)(3)</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성분명이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뒤에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07F87EA7" w14:textId="77777777" w:rsidR="00E716C4" w:rsidRPr="002C7F14" w:rsidRDefault="00E716C4" w:rsidP="00EF791F">
      <w:pPr>
        <w:spacing w:line="264" w:lineRule="auto"/>
        <w:jc w:val="both"/>
        <w:rPr>
          <w:rFonts w:asciiTheme="minorEastAsia" w:eastAsiaTheme="minorEastAsia" w:hAnsiTheme="minorEastAsia" w:cs="맑은 고딕"/>
          <w:sz w:val="20"/>
          <w:szCs w:val="20"/>
          <w:lang w:eastAsia="ko-KR"/>
        </w:rPr>
      </w:pPr>
    </w:p>
    <w:p w14:paraId="24CCA784" w14:textId="77777777" w:rsidR="00D2266B" w:rsidRPr="002C7F14" w:rsidRDefault="00D2266B" w:rsidP="00D2266B">
      <w:pPr>
        <w:pStyle w:val="a8"/>
        <w:numPr>
          <w:ilvl w:val="0"/>
          <w:numId w:val="104"/>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M016.60(a)(3)</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제외하고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성분명이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5A432A53"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5DBB94E8" w14:textId="77777777" w:rsidR="00D2266B" w:rsidRPr="002C7F14" w:rsidRDefault="00D2266B" w:rsidP="00D2266B">
      <w:pPr>
        <w:pStyle w:val="a8"/>
        <w:numPr>
          <w:ilvl w:val="0"/>
          <w:numId w:val="104"/>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M020.60(a)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제품식별명을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포함한다</w:t>
      </w:r>
      <w:r w:rsidRPr="002C7F14">
        <w:rPr>
          <w:rFonts w:asciiTheme="minorEastAsia" w:eastAsiaTheme="minorEastAsia" w:hAnsiTheme="minorEastAsia" w:cs="맑은 고딕"/>
          <w:sz w:val="20"/>
          <w:szCs w:val="20"/>
          <w:lang w:eastAsia="ko-KR"/>
        </w:rPr>
        <w:t>.</w:t>
      </w:r>
    </w:p>
    <w:p w14:paraId="004C718F"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65ACB01B" w14:textId="0FAD364C" w:rsidR="00C701CF" w:rsidRPr="002C7F14" w:rsidRDefault="00D2266B" w:rsidP="00D2266B">
      <w:pPr>
        <w:pStyle w:val="a8"/>
        <w:numPr>
          <w:ilvl w:val="0"/>
          <w:numId w:val="103"/>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달리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명시되어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명시되었거나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열거된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설명하는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진실되고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소지가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330.1(c)(2)</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외에도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허용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가능한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직접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연결되지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띄거나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두드러지는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공간을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차지하지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문구를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196A7DD4" w14:textId="2569DB46" w:rsidR="00C701CF" w:rsidRPr="002C7F14" w:rsidRDefault="00C701CF" w:rsidP="00EF791F">
      <w:pPr>
        <w:spacing w:line="264" w:lineRule="auto"/>
        <w:jc w:val="both"/>
        <w:rPr>
          <w:rFonts w:asciiTheme="minorEastAsia" w:eastAsiaTheme="minorEastAsia" w:hAnsiTheme="minorEastAsia" w:cs="맑은 고딕"/>
          <w:sz w:val="20"/>
          <w:szCs w:val="20"/>
          <w:lang w:eastAsia="ko-KR"/>
        </w:rPr>
      </w:pPr>
    </w:p>
    <w:p w14:paraId="690DDB2D" w14:textId="17F9FC1A" w:rsidR="00C701CF" w:rsidRPr="002C7F14" w:rsidRDefault="00D2266B" w:rsidP="00EF791F">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 * *</w:t>
      </w:r>
    </w:p>
    <w:p w14:paraId="7A85123A" w14:textId="0A393FD8" w:rsidR="00C701CF" w:rsidRPr="002C7F14" w:rsidRDefault="00D2266B" w:rsidP="00D2266B">
      <w:pPr>
        <w:spacing w:line="264" w:lineRule="auto"/>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(3)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M016.20(e)</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M016.50(b)(2)</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보호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외에도</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M020.52(a)(1)</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M020.52(a)</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동</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조항의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적응증도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729BB90F" w14:textId="5B176690" w:rsidR="004F788B" w:rsidRPr="002C7F14" w:rsidRDefault="004F788B" w:rsidP="00EF791F">
      <w:pPr>
        <w:spacing w:line="264" w:lineRule="auto"/>
        <w:jc w:val="both"/>
        <w:rPr>
          <w:rFonts w:asciiTheme="minorEastAsia" w:eastAsiaTheme="minorEastAsia" w:hAnsiTheme="minorEastAsia" w:cs="맑은 고딕"/>
          <w:sz w:val="20"/>
          <w:szCs w:val="20"/>
          <w:lang w:eastAsia="ko-KR"/>
        </w:rPr>
      </w:pPr>
    </w:p>
    <w:p w14:paraId="179660B6" w14:textId="77777777" w:rsidR="00D2266B" w:rsidRPr="002C7F14" w:rsidRDefault="00D2266B" w:rsidP="00D2266B">
      <w:pPr>
        <w:pStyle w:val="a8"/>
        <w:numPr>
          <w:ilvl w:val="0"/>
          <w:numId w:val="103"/>
        </w:numPr>
        <w:tabs>
          <w:tab w:val="left" w:pos="426"/>
        </w:tabs>
        <w:spacing w:line="264" w:lineRule="auto"/>
        <w:ind w:leftChars="0" w:left="0" w:firstLine="0"/>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 * *</w:t>
      </w:r>
    </w:p>
    <w:p w14:paraId="2BC694BB" w14:textId="7C448B6B" w:rsidR="004F788B" w:rsidRPr="002C7F14" w:rsidRDefault="004F788B" w:rsidP="00EF791F">
      <w:pPr>
        <w:spacing w:line="264" w:lineRule="auto"/>
        <w:jc w:val="both"/>
        <w:rPr>
          <w:rFonts w:asciiTheme="minorEastAsia" w:eastAsiaTheme="minorEastAsia" w:hAnsiTheme="minorEastAsia" w:cs="맑은 고딕"/>
          <w:sz w:val="20"/>
          <w:szCs w:val="20"/>
          <w:lang w:eastAsia="ko-KR"/>
        </w:rPr>
      </w:pPr>
    </w:p>
    <w:p w14:paraId="6CA57EA1" w14:textId="4B654351" w:rsidR="004F788B" w:rsidRPr="002C7F14" w:rsidRDefault="00D2266B" w:rsidP="00D2266B">
      <w:pPr>
        <w:pStyle w:val="a8"/>
        <w:numPr>
          <w:ilvl w:val="0"/>
          <w:numId w:val="105"/>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M016.20(e)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M020.20(b)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경고를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w:t>
      </w:r>
    </w:p>
    <w:p w14:paraId="77CA2C83" w14:textId="221A8C30" w:rsidR="004F788B" w:rsidRPr="002C7F14" w:rsidRDefault="004F788B" w:rsidP="00EF791F">
      <w:pPr>
        <w:spacing w:line="264" w:lineRule="auto"/>
        <w:jc w:val="both"/>
        <w:rPr>
          <w:rFonts w:asciiTheme="minorEastAsia" w:eastAsiaTheme="minorEastAsia" w:hAnsiTheme="minorEastAsia" w:cs="맑은 고딕"/>
          <w:sz w:val="20"/>
          <w:szCs w:val="20"/>
          <w:lang w:eastAsia="ko-KR"/>
        </w:rPr>
      </w:pPr>
    </w:p>
    <w:p w14:paraId="71363D2E" w14:textId="77777777" w:rsidR="00D2266B" w:rsidRPr="002C7F14" w:rsidRDefault="00D2266B" w:rsidP="00D2266B">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 * * * *</w:t>
      </w:r>
    </w:p>
    <w:p w14:paraId="48D5FD6E"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54683835" w14:textId="77777777" w:rsidR="00D2266B" w:rsidRPr="002C7F14" w:rsidRDefault="00D2266B" w:rsidP="00D2266B">
      <w:pPr>
        <w:pStyle w:val="a8"/>
        <w:numPr>
          <w:ilvl w:val="0"/>
          <w:numId w:val="103"/>
        </w:numPr>
        <w:tabs>
          <w:tab w:val="left" w:pos="426"/>
        </w:tabs>
        <w:spacing w:line="264" w:lineRule="auto"/>
        <w:ind w:leftChars="0" w:left="0" w:firstLine="0"/>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 * *</w:t>
      </w:r>
    </w:p>
    <w:p w14:paraId="3D411B87" w14:textId="77777777" w:rsidR="00D2266B" w:rsidRPr="002C7F14" w:rsidRDefault="00D2266B" w:rsidP="00D2266B">
      <w:pPr>
        <w:spacing w:line="264" w:lineRule="auto"/>
        <w:jc w:val="both"/>
        <w:rPr>
          <w:rFonts w:asciiTheme="minorEastAsia" w:eastAsiaTheme="minorEastAsia" w:hAnsiTheme="minorEastAsia" w:cs="맑은 고딕"/>
          <w:sz w:val="20"/>
          <w:szCs w:val="20"/>
          <w:lang w:eastAsia="ko-KR"/>
        </w:rPr>
      </w:pPr>
    </w:p>
    <w:p w14:paraId="6F80C4CF" w14:textId="3DFA0574" w:rsidR="004F788B" w:rsidRPr="002C7F14" w:rsidRDefault="00D2266B" w:rsidP="002C7F14">
      <w:pPr>
        <w:pStyle w:val="a8"/>
        <w:numPr>
          <w:ilvl w:val="0"/>
          <w:numId w:val="106"/>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M016.20(e)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M020.20(b)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M016.60(d)</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달리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명시되어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M016.50(d)</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제한이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확립된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초과하는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용량을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성분에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제한보다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낮은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연령대에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없다고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피부보호제의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M020.52(c)</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573C4910" w14:textId="3ECBDA75" w:rsidR="004F788B" w:rsidRPr="002C7F14" w:rsidRDefault="004F788B" w:rsidP="00EF791F">
      <w:pPr>
        <w:spacing w:line="264" w:lineRule="auto"/>
        <w:jc w:val="both"/>
        <w:rPr>
          <w:rFonts w:asciiTheme="minorEastAsia" w:eastAsiaTheme="minorEastAsia" w:hAnsiTheme="minorEastAsia" w:cs="맑은 고딕"/>
          <w:sz w:val="20"/>
          <w:szCs w:val="20"/>
          <w:lang w:eastAsia="ko-KR"/>
        </w:rPr>
      </w:pPr>
    </w:p>
    <w:p w14:paraId="0FE49915"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 * * *</w:t>
      </w:r>
    </w:p>
    <w:p w14:paraId="4FD181BC" w14:textId="77777777" w:rsidR="00161055" w:rsidRPr="002C7F14" w:rsidRDefault="00161055" w:rsidP="00161055">
      <w:pPr>
        <w:spacing w:line="264" w:lineRule="auto"/>
        <w:ind w:leftChars="257" w:left="565" w:firstLineChars="142" w:firstLine="28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r w:rsidRPr="002C7F14">
        <w:rPr>
          <w:rFonts w:asciiTheme="minorEastAsia" w:eastAsiaTheme="minorEastAsia" w:hAnsiTheme="minorEastAsia" w:cs="맑은 고딕"/>
          <w:sz w:val="20"/>
          <w:szCs w:val="20"/>
          <w:lang w:eastAsia="ko-KR"/>
        </w:rPr>
        <w:t xml:space="preserve"> NM 900: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일판의약품으로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판매되는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개정할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제안한다</w:t>
      </w:r>
      <w:r w:rsidRPr="002C7F14">
        <w:rPr>
          <w:rFonts w:asciiTheme="minorEastAsia" w:eastAsiaTheme="minorEastAsia" w:hAnsiTheme="minorEastAsia" w:cs="맑은 고딕"/>
          <w:sz w:val="20"/>
          <w:szCs w:val="20"/>
          <w:lang w:eastAsia="ko-KR"/>
        </w:rPr>
        <w:t xml:space="preserve">. </w:t>
      </w:r>
    </w:p>
    <w:p w14:paraId="4BD85D10" w14:textId="77777777" w:rsidR="00161055" w:rsidRPr="002C7F14" w:rsidRDefault="00161055" w:rsidP="00161055">
      <w:pPr>
        <w:spacing w:line="264" w:lineRule="auto"/>
        <w:ind w:firstLineChars="1" w:firstLine="2"/>
        <w:jc w:val="both"/>
        <w:rPr>
          <w:rFonts w:asciiTheme="minorEastAsia" w:eastAsiaTheme="minorEastAsia" w:hAnsiTheme="minorEastAsia" w:cs="맑은 고딕"/>
          <w:sz w:val="20"/>
          <w:szCs w:val="20"/>
          <w:lang w:eastAsia="ko-KR"/>
        </w:rPr>
      </w:pPr>
    </w:p>
    <w:p w14:paraId="336AF199" w14:textId="54F4BBE0"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미국</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식품의약국</w:t>
      </w:r>
    </w:p>
    <w:p w14:paraId="28C34E6E" w14:textId="77777777"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p>
    <w:p w14:paraId="67A48F40" w14:textId="033F1A4D"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조건</w:t>
      </w:r>
      <w:r w:rsidRPr="002C7F14">
        <w:rPr>
          <w:rFonts w:asciiTheme="minorEastAsia" w:eastAsiaTheme="minorEastAsia" w:hAnsiTheme="minorEastAsia" w:cs="맑은 고딕"/>
          <w:b/>
          <w:sz w:val="20"/>
          <w:szCs w:val="20"/>
          <w:lang w:eastAsia="ko-KR"/>
        </w:rPr>
        <w:t xml:space="preserve"> NM 900:</w:t>
      </w:r>
    </w:p>
    <w:p w14:paraId="2F187A6B" w14:textId="26E0BD9D"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특정</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용도를</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위해</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일반의약품으로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판매되는</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특정</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활성분을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함유한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의약품</w:t>
      </w:r>
    </w:p>
    <w:p w14:paraId="50006159"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39A38479" w14:textId="77777777" w:rsidR="00161055" w:rsidRPr="002C7F14" w:rsidRDefault="00161055" w:rsidP="00161055">
      <w:pPr>
        <w:spacing w:line="264" w:lineRule="auto"/>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1. (a)(24)</w:t>
      </w:r>
      <w:r w:rsidRPr="002C7F14">
        <w:rPr>
          <w:rFonts w:asciiTheme="minorEastAsia" w:eastAsiaTheme="minorEastAsia" w:hAnsiTheme="minorEastAsia" w:cs="맑은 고딕" w:hint="eastAsia"/>
          <w:sz w:val="20"/>
          <w:szCs w:val="20"/>
          <w:lang w:eastAsia="ko-KR"/>
        </w:rPr>
        <w:t>항을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제거하여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r w:rsidRPr="002C7F14">
        <w:rPr>
          <w:rFonts w:asciiTheme="minorEastAsia" w:eastAsiaTheme="minorEastAsia" w:hAnsiTheme="minorEastAsia" w:cs="맑은 고딕"/>
          <w:sz w:val="20"/>
          <w:szCs w:val="20"/>
          <w:lang w:eastAsia="ko-KR"/>
        </w:rPr>
        <w:t xml:space="preserve"> NM900: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용도를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일반의약품으로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판매되는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개정한다</w:t>
      </w:r>
      <w:r w:rsidRPr="002C7F14">
        <w:rPr>
          <w:rFonts w:asciiTheme="minorEastAsia" w:eastAsiaTheme="minorEastAsia" w:hAnsiTheme="minorEastAsia" w:cs="맑은 고딕"/>
          <w:sz w:val="20"/>
          <w:szCs w:val="20"/>
          <w:lang w:eastAsia="ko-KR"/>
        </w:rPr>
        <w:t>.</w:t>
      </w:r>
    </w:p>
    <w:p w14:paraId="511DFA6F" w14:textId="77777777" w:rsidR="00161055" w:rsidRPr="002C7F14" w:rsidRDefault="00161055" w:rsidP="00161055">
      <w:pPr>
        <w:spacing w:line="264" w:lineRule="auto"/>
        <w:ind w:firstLineChars="213" w:firstLine="426"/>
        <w:jc w:val="both"/>
        <w:rPr>
          <w:rFonts w:asciiTheme="minorEastAsia" w:eastAsiaTheme="minorEastAsia" w:hAnsiTheme="minorEastAsia" w:cs="맑은 고딕"/>
          <w:sz w:val="20"/>
          <w:szCs w:val="20"/>
          <w:lang w:eastAsia="ko-KR"/>
        </w:rPr>
      </w:pPr>
    </w:p>
    <w:p w14:paraId="061D646C" w14:textId="77777777" w:rsidR="00161055" w:rsidRPr="002C7F14" w:rsidRDefault="00161055" w:rsidP="00161055">
      <w:pPr>
        <w:spacing w:line="264" w:lineRule="auto"/>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r w:rsidRPr="002C7F14">
        <w:rPr>
          <w:rFonts w:asciiTheme="minorEastAsia" w:eastAsiaTheme="minorEastAsia" w:hAnsiTheme="minorEastAsia" w:cs="맑은 고딕"/>
          <w:sz w:val="20"/>
          <w:szCs w:val="20"/>
          <w:lang w:eastAsia="ko-KR"/>
        </w:rPr>
        <w:t xml:space="preserve"> NM020: </w:t>
      </w:r>
      <w:r w:rsidRPr="002C7F14">
        <w:rPr>
          <w:rFonts w:asciiTheme="minorEastAsia" w:eastAsiaTheme="minorEastAsia" w:hAnsiTheme="minorEastAsia" w:cs="맑은 고딕" w:hint="eastAsia"/>
          <w:sz w:val="20"/>
          <w:szCs w:val="20"/>
          <w:lang w:eastAsia="ko-KR"/>
        </w:rPr>
        <w:t>일반의약품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제정할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제안한다</w:t>
      </w:r>
      <w:r w:rsidRPr="002C7F14">
        <w:rPr>
          <w:rFonts w:asciiTheme="minorEastAsia" w:eastAsiaTheme="minorEastAsia" w:hAnsiTheme="minorEastAsia" w:cs="맑은 고딕"/>
          <w:sz w:val="20"/>
          <w:szCs w:val="20"/>
          <w:lang w:eastAsia="ko-KR"/>
        </w:rPr>
        <w:t>.</w:t>
      </w:r>
    </w:p>
    <w:p w14:paraId="30A22C85" w14:textId="77777777" w:rsidR="00161055" w:rsidRPr="002C7F14" w:rsidRDefault="00161055" w:rsidP="00161055">
      <w:pPr>
        <w:spacing w:line="264" w:lineRule="auto"/>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1. </w:t>
      </w:r>
      <w:r w:rsidRPr="002C7F14">
        <w:rPr>
          <w:rFonts w:asciiTheme="minorEastAsia" w:eastAsiaTheme="minorEastAsia" w:hAnsiTheme="minorEastAsia" w:cs="맑은 고딕" w:hint="eastAsia"/>
          <w:sz w:val="20"/>
          <w:szCs w:val="20"/>
          <w:lang w:eastAsia="ko-KR"/>
        </w:rPr>
        <w:t>다음과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새로운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행정명령</w:t>
      </w:r>
      <w:r w:rsidRPr="002C7F14">
        <w:rPr>
          <w:rFonts w:asciiTheme="minorEastAsia" w:eastAsiaTheme="minorEastAsia" w:hAnsiTheme="minorEastAsia" w:cs="맑은 고딕"/>
          <w:sz w:val="20"/>
          <w:szCs w:val="20"/>
          <w:lang w:eastAsia="ko-KR"/>
        </w:rPr>
        <w:t xml:space="preserve"> NM020</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추가한다</w:t>
      </w:r>
      <w:r w:rsidRPr="002C7F14">
        <w:rPr>
          <w:rFonts w:asciiTheme="minorEastAsia" w:eastAsiaTheme="minorEastAsia" w:hAnsiTheme="minorEastAsia" w:cs="맑은 고딕"/>
          <w:sz w:val="20"/>
          <w:szCs w:val="20"/>
          <w:lang w:eastAsia="ko-KR"/>
        </w:rPr>
        <w:t>.</w:t>
      </w:r>
    </w:p>
    <w:p w14:paraId="48A63D4F"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5892C760" w14:textId="6779D9D2"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미국</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식품의약국</w:t>
      </w:r>
    </w:p>
    <w:p w14:paraId="11F79EA5" w14:textId="77777777"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조건</w:t>
      </w:r>
      <w:r w:rsidRPr="002C7F14">
        <w:rPr>
          <w:rFonts w:asciiTheme="minorEastAsia" w:eastAsiaTheme="minorEastAsia" w:hAnsiTheme="minorEastAsia" w:cs="맑은 고딕"/>
          <w:b/>
          <w:sz w:val="20"/>
          <w:szCs w:val="20"/>
          <w:lang w:eastAsia="ko-KR"/>
        </w:rPr>
        <w:t xml:space="preserve"> NM020:</w:t>
      </w:r>
    </w:p>
    <w:p w14:paraId="638DE194" w14:textId="77777777"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일반의약품</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자외선</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차단</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의약품</w:t>
      </w:r>
      <w:r w:rsidRPr="002C7F14">
        <w:rPr>
          <w:rFonts w:asciiTheme="minorEastAsia" w:eastAsiaTheme="minorEastAsia" w:hAnsiTheme="minorEastAsia" w:cs="맑은 고딕"/>
          <w:b/>
          <w:sz w:val="20"/>
          <w:szCs w:val="20"/>
          <w:lang w:eastAsia="ko-KR"/>
        </w:rPr>
        <w:t xml:space="preserve"> </w:t>
      </w:r>
    </w:p>
    <w:p w14:paraId="5513C919" w14:textId="77777777" w:rsidR="00161055" w:rsidRPr="002C7F14" w:rsidRDefault="00161055" w:rsidP="00161055">
      <w:pPr>
        <w:spacing w:line="264" w:lineRule="auto"/>
        <w:jc w:val="center"/>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b/>
          <w:sz w:val="20"/>
          <w:szCs w:val="20"/>
          <w:lang w:eastAsia="ko-KR"/>
        </w:rPr>
        <w:t>(2021</w:t>
      </w:r>
      <w:r w:rsidRPr="002C7F14">
        <w:rPr>
          <w:rFonts w:asciiTheme="minorEastAsia" w:eastAsiaTheme="minorEastAsia" w:hAnsiTheme="minorEastAsia" w:cs="맑은 고딕" w:hint="eastAsia"/>
          <w:b/>
          <w:sz w:val="20"/>
          <w:szCs w:val="20"/>
          <w:lang w:eastAsia="ko-KR"/>
        </w:rPr>
        <w:t>년</w:t>
      </w:r>
      <w:r w:rsidRPr="002C7F14">
        <w:rPr>
          <w:rFonts w:asciiTheme="minorEastAsia" w:eastAsiaTheme="minorEastAsia" w:hAnsiTheme="minorEastAsia" w:cs="맑은 고딕"/>
          <w:b/>
          <w:sz w:val="20"/>
          <w:szCs w:val="20"/>
          <w:lang w:eastAsia="ko-KR"/>
        </w:rPr>
        <w:t xml:space="preserve"> 9</w:t>
      </w:r>
      <w:r w:rsidRPr="002C7F14">
        <w:rPr>
          <w:rFonts w:asciiTheme="minorEastAsia" w:eastAsiaTheme="minorEastAsia" w:hAnsiTheme="minorEastAsia" w:cs="맑은 고딕" w:hint="eastAsia"/>
          <w:b/>
          <w:sz w:val="20"/>
          <w:szCs w:val="20"/>
          <w:lang w:eastAsia="ko-KR"/>
        </w:rPr>
        <w:t>월</w:t>
      </w:r>
      <w:r w:rsidRPr="002C7F14">
        <w:rPr>
          <w:rFonts w:asciiTheme="minorEastAsia" w:eastAsiaTheme="minorEastAsia" w:hAnsiTheme="minorEastAsia" w:cs="맑은 고딕"/>
          <w:b/>
          <w:sz w:val="20"/>
          <w:szCs w:val="20"/>
          <w:lang w:eastAsia="ko-KR"/>
        </w:rPr>
        <w:t xml:space="preserve"> 24</w:t>
      </w:r>
      <w:r w:rsidRPr="002C7F14">
        <w:rPr>
          <w:rFonts w:asciiTheme="minorEastAsia" w:eastAsiaTheme="minorEastAsia" w:hAnsiTheme="minorEastAsia" w:cs="맑은 고딕" w:hint="eastAsia"/>
          <w:b/>
          <w:sz w:val="20"/>
          <w:szCs w:val="20"/>
          <w:lang w:eastAsia="ko-KR"/>
        </w:rPr>
        <w:t>일</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발행된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제안</w:t>
      </w:r>
      <w:r w:rsidRPr="002C7F14">
        <w:rPr>
          <w:rFonts w:asciiTheme="minorEastAsia" w:eastAsiaTheme="minorEastAsia" w:hAnsiTheme="minorEastAsia" w:cs="맑은 고딕"/>
          <w:b/>
          <w:sz w:val="20"/>
          <w:szCs w:val="20"/>
          <w:lang w:eastAsia="ko-KR"/>
        </w:rPr>
        <w:t>)</w:t>
      </w:r>
    </w:p>
    <w:p w14:paraId="7316B838"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49A62B03" w14:textId="77777777" w:rsidR="00161055" w:rsidRPr="002C7F14" w:rsidRDefault="00161055" w:rsidP="00161055">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w:t>
      </w:r>
      <w:r w:rsidRPr="002C7F14">
        <w:rPr>
          <w:rFonts w:asciiTheme="minorEastAsia" w:eastAsiaTheme="minorEastAsia" w:hAnsiTheme="minorEastAsia" w:cs="맑은 고딕"/>
          <w:b/>
          <w:sz w:val="20"/>
          <w:szCs w:val="20"/>
          <w:lang w:eastAsia="ko-KR"/>
        </w:rPr>
        <w:t>A</w:t>
      </w:r>
      <w:r w:rsidRPr="002C7F14">
        <w:rPr>
          <w:rFonts w:asciiTheme="minorEastAsia" w:eastAsiaTheme="minorEastAsia" w:hAnsiTheme="minorEastAsia" w:cs="맑은 고딕" w:hint="eastAsia"/>
          <w:b/>
          <w:sz w:val="20"/>
          <w:szCs w:val="20"/>
          <w:lang w:eastAsia="ko-KR"/>
        </w:rPr>
        <w:t>부—일반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조항</w:t>
      </w:r>
    </w:p>
    <w:p w14:paraId="06CCF6DF"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00278841"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조</w:t>
      </w:r>
    </w:p>
    <w:p w14:paraId="07A2E4C8"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NM020.1 </w:t>
      </w:r>
      <w:r w:rsidRPr="002C7F14">
        <w:rPr>
          <w:rFonts w:asciiTheme="minorEastAsia" w:eastAsiaTheme="minorEastAsia" w:hAnsiTheme="minorEastAsia" w:cs="맑은 고딕" w:hint="eastAsia"/>
          <w:sz w:val="20"/>
          <w:szCs w:val="20"/>
          <w:lang w:eastAsia="ko-KR"/>
        </w:rPr>
        <w:t>범위</w:t>
      </w:r>
    </w:p>
    <w:p w14:paraId="0F2F84DB"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2D089041" w14:textId="77777777" w:rsidR="00161055" w:rsidRPr="002C7F14" w:rsidRDefault="00161055" w:rsidP="00161055">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w:t>
      </w:r>
      <w:r w:rsidRPr="002C7F14">
        <w:rPr>
          <w:rFonts w:asciiTheme="minorEastAsia" w:eastAsiaTheme="minorEastAsia" w:hAnsiTheme="minorEastAsia" w:cs="맑은 고딕"/>
          <w:b/>
          <w:sz w:val="20"/>
          <w:szCs w:val="20"/>
          <w:lang w:eastAsia="ko-KR"/>
        </w:rPr>
        <w:t>B</w:t>
      </w:r>
      <w:r w:rsidRPr="002C7F14">
        <w:rPr>
          <w:rFonts w:asciiTheme="minorEastAsia" w:eastAsiaTheme="minorEastAsia" w:hAnsiTheme="minorEastAsia" w:cs="맑은 고딕" w:hint="eastAsia"/>
          <w:b/>
          <w:sz w:val="20"/>
          <w:szCs w:val="20"/>
          <w:lang w:eastAsia="ko-KR"/>
        </w:rPr>
        <w:t>부—특정</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조건</w:t>
      </w:r>
    </w:p>
    <w:p w14:paraId="3C92DBE0"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690A02CB" w14:textId="15E347D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NM020.3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w:t>
      </w:r>
    </w:p>
    <w:p w14:paraId="401A02CF"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NM020.5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SPF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r w:rsidRPr="002C7F14">
        <w:rPr>
          <w:rFonts w:asciiTheme="minorEastAsia" w:eastAsiaTheme="minorEastAsia" w:hAnsiTheme="minorEastAsia" w:cs="맑은 고딕"/>
          <w:sz w:val="20"/>
          <w:szCs w:val="20"/>
          <w:lang w:eastAsia="ko-KR"/>
        </w:rPr>
        <w:t xml:space="preserve"> </w:t>
      </w:r>
    </w:p>
    <w:p w14:paraId="40EA899A"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NM020.10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시판</w:t>
      </w:r>
    </w:p>
    <w:p w14:paraId="00ADC0F3"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NM020.20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조건</w:t>
      </w:r>
    </w:p>
    <w:p w14:paraId="24CFE240"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56277F07" w14:textId="77777777" w:rsidR="00161055" w:rsidRPr="002C7F14" w:rsidRDefault="00161055" w:rsidP="00161055">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w:t>
      </w:r>
      <w:r w:rsidRPr="002C7F14">
        <w:rPr>
          <w:rFonts w:asciiTheme="minorEastAsia" w:eastAsiaTheme="minorEastAsia" w:hAnsiTheme="minorEastAsia" w:cs="맑은 고딕"/>
          <w:b/>
          <w:sz w:val="20"/>
          <w:szCs w:val="20"/>
          <w:lang w:eastAsia="ko-KR"/>
        </w:rPr>
        <w:t>A</w:t>
      </w:r>
      <w:r w:rsidRPr="002C7F14">
        <w:rPr>
          <w:rFonts w:asciiTheme="minorEastAsia" w:eastAsiaTheme="minorEastAsia" w:hAnsiTheme="minorEastAsia" w:cs="맑은 고딕" w:hint="eastAsia"/>
          <w:b/>
          <w:sz w:val="20"/>
          <w:szCs w:val="20"/>
          <w:lang w:eastAsia="ko-KR"/>
        </w:rPr>
        <w:t>부—일반</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조항</w:t>
      </w:r>
    </w:p>
    <w:p w14:paraId="4441035A" w14:textId="77777777" w:rsidR="00161055" w:rsidRPr="002C7F14" w:rsidRDefault="00161055" w:rsidP="00161055">
      <w:pPr>
        <w:spacing w:line="264" w:lineRule="auto"/>
        <w:jc w:val="both"/>
        <w:rPr>
          <w:rFonts w:asciiTheme="minorEastAsia" w:eastAsiaTheme="minorEastAsia" w:hAnsiTheme="minorEastAsia" w:cs="맑은 고딕"/>
          <w:sz w:val="20"/>
          <w:szCs w:val="20"/>
          <w:lang w:eastAsia="ko-KR"/>
        </w:rPr>
      </w:pPr>
    </w:p>
    <w:p w14:paraId="2D8886B5" w14:textId="0D2A60BA" w:rsidR="004F788B" w:rsidRPr="002C7F14" w:rsidRDefault="00161055" w:rsidP="00161055">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NM020.1 </w:t>
      </w:r>
      <w:r w:rsidRPr="002C7F14">
        <w:rPr>
          <w:rFonts w:asciiTheme="minorEastAsia" w:eastAsiaTheme="minorEastAsia" w:hAnsiTheme="minorEastAsia" w:cs="맑은 고딕" w:hint="eastAsia"/>
          <w:b/>
          <w:sz w:val="20"/>
          <w:szCs w:val="20"/>
          <w:lang w:eastAsia="ko-KR"/>
        </w:rPr>
        <w:t>범위</w:t>
      </w:r>
    </w:p>
    <w:p w14:paraId="694BF344" w14:textId="21C06241" w:rsidR="00D2266B" w:rsidRPr="002C7F14" w:rsidRDefault="00D2266B" w:rsidP="00EF791F">
      <w:pPr>
        <w:spacing w:line="264" w:lineRule="auto"/>
        <w:jc w:val="both"/>
        <w:rPr>
          <w:rFonts w:asciiTheme="minorEastAsia" w:eastAsiaTheme="minorEastAsia" w:hAnsiTheme="minorEastAsia" w:cs="맑은 고딕"/>
          <w:sz w:val="20"/>
          <w:szCs w:val="20"/>
          <w:lang w:eastAsia="ko-KR"/>
        </w:rPr>
      </w:pPr>
    </w:p>
    <w:p w14:paraId="3D6AE787"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OTC</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판매되고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NM020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모든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안전하고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효과적인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인정되지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연방식품의약품화장품법</w:t>
      </w:r>
      <w:r w:rsidRPr="002C7F14">
        <w:rPr>
          <w:rFonts w:asciiTheme="minorEastAsia" w:eastAsiaTheme="minorEastAsia" w:hAnsiTheme="minorEastAsia" w:cs="맑은 고딕"/>
          <w:sz w:val="20"/>
          <w:szCs w:val="20"/>
          <w:lang w:eastAsia="ko-KR"/>
        </w:rPr>
        <w:t>(FD&amp;C</w:t>
      </w:r>
      <w:r w:rsidRPr="002C7F14">
        <w:rPr>
          <w:rFonts w:asciiTheme="minorEastAsia" w:eastAsiaTheme="minorEastAsia" w:hAnsiTheme="minorEastAsia" w:cs="맑은 고딕" w:hint="eastAsia"/>
          <w:sz w:val="20"/>
          <w:szCs w:val="20"/>
          <w:lang w:eastAsia="ko-KR"/>
        </w:rPr>
        <w:t>법</w:t>
      </w:r>
      <w:r w:rsidRPr="002C7F14">
        <w:rPr>
          <w:rFonts w:asciiTheme="minorEastAsia" w:eastAsiaTheme="minorEastAsia" w:hAnsiTheme="minorEastAsia" w:cs="맑은 고딕"/>
          <w:sz w:val="20"/>
          <w:szCs w:val="20"/>
          <w:lang w:eastAsia="ko-KR"/>
        </w:rPr>
        <w:t>) (</w:t>
      </w:r>
      <w:r w:rsidRPr="002C7F14">
        <w:rPr>
          <w:rFonts w:asciiTheme="minorEastAsia" w:eastAsiaTheme="minorEastAsia" w:hAnsiTheme="minorEastAsia" w:cs="맑은 고딕" w:hint="eastAsia"/>
          <w:sz w:val="20"/>
          <w:szCs w:val="20"/>
          <w:lang w:eastAsia="ko-KR"/>
        </w:rPr>
        <w:t>미국법전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321(p)</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의미에서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신약으로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간주되어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시판을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위해서는</w:t>
      </w:r>
      <w:r w:rsidRPr="002C7F14">
        <w:rPr>
          <w:rFonts w:asciiTheme="minorEastAsia" w:eastAsiaTheme="minorEastAsia" w:hAnsiTheme="minorEastAsia" w:cs="맑은 고딕"/>
          <w:sz w:val="20"/>
          <w:szCs w:val="20"/>
          <w:lang w:eastAsia="ko-KR"/>
        </w:rPr>
        <w:t xml:space="preserve"> FD&amp;C</w:t>
      </w:r>
      <w:r w:rsidRPr="002C7F14">
        <w:rPr>
          <w:rFonts w:asciiTheme="minorEastAsia" w:eastAsiaTheme="minorEastAsia" w:hAnsiTheme="minorEastAsia" w:cs="맑은 고딕" w:hint="eastAsia"/>
          <w:sz w:val="20"/>
          <w:szCs w:val="20"/>
          <w:lang w:eastAsia="ko-KR"/>
        </w:rPr>
        <w:t>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505</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미국법전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355(a)</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314</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승인된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신청이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필요하다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승인된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신청이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제품은</w:t>
      </w:r>
      <w:r w:rsidRPr="002C7F14">
        <w:rPr>
          <w:rFonts w:asciiTheme="minorEastAsia" w:eastAsiaTheme="minorEastAsia" w:hAnsiTheme="minorEastAsia" w:cs="맑은 고딕"/>
          <w:sz w:val="20"/>
          <w:szCs w:val="20"/>
          <w:lang w:eastAsia="ko-KR"/>
        </w:rPr>
        <w:t xml:space="preserve"> FD&amp;C</w:t>
      </w:r>
      <w:r w:rsidRPr="002C7F14">
        <w:rPr>
          <w:rFonts w:asciiTheme="minorEastAsia" w:eastAsiaTheme="minorEastAsia" w:hAnsiTheme="minorEastAsia" w:cs="맑은 고딕" w:hint="eastAsia"/>
          <w:sz w:val="20"/>
          <w:szCs w:val="20"/>
          <w:lang w:eastAsia="ko-KR"/>
        </w:rPr>
        <w:t>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502</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미국법전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352</w:t>
      </w:r>
      <w:r w:rsidRPr="002C7F14">
        <w:rPr>
          <w:rFonts w:asciiTheme="minorEastAsia" w:eastAsiaTheme="minorEastAsia" w:hAnsiTheme="minorEastAsia" w:cs="맑은 고딕" w:hint="eastAsia"/>
          <w:sz w:val="20"/>
          <w:szCs w:val="20"/>
          <w:lang w:eastAsia="ko-KR"/>
        </w:rPr>
        <w:t>조</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OTC</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판매되는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홍보되는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햇빛에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일광화상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예방하기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포함된다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NM020</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목적에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안전하고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효과적이라는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증거를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설계된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21</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312</w:t>
      </w:r>
      <w:r w:rsidRPr="002C7F14">
        <w:rPr>
          <w:rFonts w:asciiTheme="minorEastAsia" w:eastAsiaTheme="minorEastAsia" w:hAnsiTheme="minorEastAsia" w:cs="맑은 고딕" w:hint="eastAsia"/>
          <w:sz w:val="20"/>
          <w:szCs w:val="20"/>
          <w:lang w:eastAsia="ko-KR"/>
        </w:rPr>
        <w:t>부에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임상시험용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규제하는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요구사항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절차를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준수해야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한다</w:t>
      </w:r>
      <w:r w:rsidRPr="002C7F14">
        <w:rPr>
          <w:rFonts w:asciiTheme="minorEastAsia" w:eastAsiaTheme="minorEastAsia" w:hAnsiTheme="minorEastAsia" w:cs="맑은 고딕"/>
          <w:sz w:val="20"/>
          <w:szCs w:val="20"/>
          <w:lang w:eastAsia="ko-KR"/>
        </w:rPr>
        <w:t>.</w:t>
      </w:r>
    </w:p>
    <w:p w14:paraId="4940FED5"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5D7D1495" w14:textId="77777777" w:rsidR="00160DDA" w:rsidRPr="002C7F14" w:rsidRDefault="00160DDA" w:rsidP="00160DDA">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제</w:t>
      </w:r>
      <w:r w:rsidRPr="002C7F14">
        <w:rPr>
          <w:rFonts w:asciiTheme="minorEastAsia" w:eastAsiaTheme="minorEastAsia" w:hAnsiTheme="minorEastAsia" w:cs="맑은 고딕"/>
          <w:b/>
          <w:sz w:val="20"/>
          <w:szCs w:val="20"/>
          <w:lang w:eastAsia="ko-KR"/>
        </w:rPr>
        <w:t>B</w:t>
      </w:r>
      <w:r w:rsidRPr="002C7F14">
        <w:rPr>
          <w:rFonts w:asciiTheme="minorEastAsia" w:eastAsiaTheme="minorEastAsia" w:hAnsiTheme="minorEastAsia" w:cs="맑은 고딕" w:hint="eastAsia"/>
          <w:b/>
          <w:sz w:val="20"/>
          <w:szCs w:val="20"/>
          <w:lang w:eastAsia="ko-KR"/>
        </w:rPr>
        <w:t>부—비모노그래프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조건</w:t>
      </w:r>
    </w:p>
    <w:p w14:paraId="228B84DA"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5D74682D" w14:textId="77777777" w:rsidR="00160DDA" w:rsidRPr="002C7F14" w:rsidRDefault="00160DDA" w:rsidP="00160DDA">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NM020.3 </w:t>
      </w: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활성성분</w:t>
      </w:r>
    </w:p>
    <w:p w14:paraId="55CD5D0A"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4277288B"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활성성분이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r w:rsidRPr="002C7F14">
        <w:rPr>
          <w:rFonts w:asciiTheme="minorEastAsia" w:eastAsiaTheme="minorEastAsia" w:hAnsiTheme="minorEastAsia" w:cs="맑은 고딕"/>
          <w:sz w:val="20"/>
          <w:szCs w:val="20"/>
          <w:lang w:eastAsia="ko-KR"/>
        </w:rPr>
        <w:t>:</w:t>
      </w:r>
    </w:p>
    <w:p w14:paraId="705B2327"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73607405"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아미노벤조산</w:t>
      </w:r>
    </w:p>
    <w:p w14:paraId="564FD089"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아보벤존</w:t>
      </w:r>
    </w:p>
    <w:p w14:paraId="4F000730"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시녹세이트</w:t>
      </w:r>
    </w:p>
    <w:p w14:paraId="4F209A19"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디에탄올아민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메톡시신나메이트</w:t>
      </w:r>
    </w:p>
    <w:p w14:paraId="30C48CDF"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디갈로일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트리올레이트</w:t>
      </w:r>
    </w:p>
    <w:p w14:paraId="7F5D0E0A"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디옥시벤존</w:t>
      </w:r>
    </w:p>
    <w:p w14:paraId="2FF09D54"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엔술리졸</w:t>
      </w:r>
    </w:p>
    <w:p w14:paraId="3CD0778F"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에틸</w:t>
      </w:r>
      <w:r w:rsidRPr="002C7F14">
        <w:rPr>
          <w:rFonts w:asciiTheme="minorEastAsia" w:eastAsiaTheme="minorEastAsia" w:hAnsiTheme="minorEastAsia" w:cs="맑은 고딕"/>
          <w:sz w:val="20"/>
          <w:szCs w:val="20"/>
          <w:lang w:eastAsia="ko-KR"/>
        </w:rPr>
        <w:t xml:space="preserve"> 4-[</w:t>
      </w:r>
      <w:r w:rsidRPr="002C7F14">
        <w:rPr>
          <w:rFonts w:asciiTheme="minorEastAsia" w:eastAsiaTheme="minorEastAsia" w:hAnsiTheme="minorEastAsia" w:cs="맑은 고딕" w:hint="eastAsia"/>
          <w:sz w:val="20"/>
          <w:szCs w:val="20"/>
          <w:lang w:eastAsia="ko-KR"/>
        </w:rPr>
        <w:t>비스</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하이드록시프로필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아미노벤조에이트</w:t>
      </w:r>
    </w:p>
    <w:p w14:paraId="24876CD6"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글리세릴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아미노벤조에이트</w:t>
      </w:r>
    </w:p>
    <w:p w14:paraId="7A6716F2"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호모살레이트</w:t>
      </w:r>
    </w:p>
    <w:p w14:paraId="5FE82D82"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디하이드록시아세톤이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함유된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로손</w:t>
      </w:r>
    </w:p>
    <w:p w14:paraId="6926CE22"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메라디메이트</w:t>
      </w:r>
    </w:p>
    <w:p w14:paraId="57AE4888" w14:textId="426B70EF" w:rsidR="00D2266B"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옥티녹세이트</w:t>
      </w:r>
    </w:p>
    <w:p w14:paraId="297CB00B"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옥티살레이트</w:t>
      </w:r>
    </w:p>
    <w:p w14:paraId="2F7A5B3B"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옥토클릴렌</w:t>
      </w:r>
    </w:p>
    <w:p w14:paraId="040AB9FC"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옥시벤존</w:t>
      </w:r>
    </w:p>
    <w:p w14:paraId="2A8D99F7"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파디메이트</w:t>
      </w:r>
      <w:r w:rsidRPr="002C7F14">
        <w:rPr>
          <w:rFonts w:asciiTheme="minorEastAsia" w:eastAsiaTheme="minorEastAsia" w:hAnsiTheme="minorEastAsia" w:cs="맑은 고딕"/>
          <w:sz w:val="20"/>
          <w:szCs w:val="20"/>
          <w:lang w:eastAsia="ko-KR"/>
        </w:rPr>
        <w:t xml:space="preserve"> O</w:t>
      </w:r>
    </w:p>
    <w:p w14:paraId="15587306"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적색</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페트롤라툼</w:t>
      </w:r>
    </w:p>
    <w:p w14:paraId="7D415BEE"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술리소벤존</w:t>
      </w:r>
    </w:p>
    <w:p w14:paraId="4F70C6DA" w14:textId="77777777" w:rsidR="00160DDA" w:rsidRPr="002C7F14" w:rsidRDefault="00160DDA" w:rsidP="003B394A">
      <w:pPr>
        <w:pStyle w:val="a8"/>
        <w:numPr>
          <w:ilvl w:val="0"/>
          <w:numId w:val="107"/>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트롤아민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살리실레이트</w:t>
      </w:r>
    </w:p>
    <w:p w14:paraId="348969BF"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16AA81FB" w14:textId="77777777" w:rsidR="00160DDA" w:rsidRPr="002C7F14" w:rsidRDefault="00160DDA" w:rsidP="00160DDA">
      <w:pPr>
        <w:spacing w:line="264" w:lineRule="auto"/>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NM020.5 </w:t>
      </w: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SPF </w:t>
      </w:r>
      <w:r w:rsidRPr="002C7F14">
        <w:rPr>
          <w:rFonts w:asciiTheme="minorEastAsia" w:eastAsiaTheme="minorEastAsia" w:hAnsiTheme="minorEastAsia" w:cs="맑은 고딕" w:hint="eastAsia"/>
          <w:b/>
          <w:sz w:val="20"/>
          <w:szCs w:val="20"/>
          <w:lang w:eastAsia="ko-KR"/>
        </w:rPr>
        <w:t>및</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광범위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스펙트럼</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조건</w:t>
      </w:r>
    </w:p>
    <w:p w14:paraId="26493980"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622FA9A2" w14:textId="77777777" w:rsidR="00160DDA" w:rsidRPr="002C7F14" w:rsidRDefault="00160DDA" w:rsidP="003B394A">
      <w:pPr>
        <w:pStyle w:val="a8"/>
        <w:numPr>
          <w:ilvl w:val="0"/>
          <w:numId w:val="108"/>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자외선차단지수</w:t>
      </w: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최소</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이상이지만</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못한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입증된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p>
    <w:p w14:paraId="598B864A" w14:textId="77777777" w:rsidR="00160DDA" w:rsidRPr="002C7F14" w:rsidRDefault="00160DDA" w:rsidP="003B394A">
      <w:pPr>
        <w:tabs>
          <w:tab w:val="left" w:pos="426"/>
        </w:tabs>
        <w:spacing w:line="264" w:lineRule="auto"/>
        <w:jc w:val="both"/>
        <w:rPr>
          <w:rFonts w:asciiTheme="minorEastAsia" w:eastAsiaTheme="minorEastAsia" w:hAnsiTheme="minorEastAsia" w:cs="맑은 고딕"/>
          <w:sz w:val="20"/>
          <w:szCs w:val="20"/>
          <w:lang w:eastAsia="ko-KR"/>
        </w:rPr>
      </w:pPr>
    </w:p>
    <w:p w14:paraId="58ABA7F0" w14:textId="77777777" w:rsidR="00160DDA" w:rsidRPr="002C7F14" w:rsidRDefault="00160DDA" w:rsidP="003B394A">
      <w:pPr>
        <w:pStyle w:val="a8"/>
        <w:numPr>
          <w:ilvl w:val="0"/>
          <w:numId w:val="108"/>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자외선차단지수</w:t>
      </w: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w:t>
      </w:r>
      <w:r w:rsidRPr="002C7F14">
        <w:rPr>
          <w:rFonts w:asciiTheme="minorEastAsia" w:eastAsiaTheme="minorEastAsia" w:hAnsiTheme="minorEastAsia" w:cs="맑은 고딕"/>
          <w:sz w:val="20"/>
          <w:szCs w:val="20"/>
          <w:lang w:eastAsia="ko-KR"/>
        </w:rPr>
        <w:t xml:space="preserve"> 2 </w:t>
      </w:r>
      <w:r w:rsidRPr="002C7F14">
        <w:rPr>
          <w:rFonts w:asciiTheme="minorEastAsia" w:eastAsiaTheme="minorEastAsia" w:hAnsiTheme="minorEastAsia" w:cs="맑은 고딕" w:hint="eastAsia"/>
          <w:sz w:val="20"/>
          <w:szCs w:val="20"/>
          <w:lang w:eastAsia="ko-KR"/>
        </w:rPr>
        <w:t>미만이거나</w:t>
      </w:r>
      <w:r w:rsidRPr="002C7F14">
        <w:rPr>
          <w:rFonts w:asciiTheme="minorEastAsia" w:eastAsiaTheme="minorEastAsia" w:hAnsiTheme="minorEastAsia" w:cs="맑은 고딕"/>
          <w:sz w:val="20"/>
          <w:szCs w:val="20"/>
          <w:lang w:eastAsia="ko-KR"/>
        </w:rPr>
        <w:t xml:space="preserve"> 80</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초과하는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p>
    <w:p w14:paraId="4C5680F9"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2D9EA1AE"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NM020.10 </w:t>
      </w:r>
      <w:r w:rsidRPr="002C7F14">
        <w:rPr>
          <w:rFonts w:asciiTheme="minorEastAsia" w:eastAsiaTheme="minorEastAsia" w:hAnsiTheme="minorEastAsia" w:cs="맑은 고딕" w:hint="eastAsia"/>
          <w:sz w:val="20"/>
          <w:szCs w:val="20"/>
          <w:lang w:eastAsia="ko-KR"/>
        </w:rPr>
        <w:t>비모노그래프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시판</w:t>
      </w:r>
    </w:p>
    <w:p w14:paraId="39AD6628"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4C34CD1E" w14:textId="06D312A6" w:rsidR="00160DDA" w:rsidRPr="002C7F14" w:rsidRDefault="00160DDA" w:rsidP="003B394A">
      <w:pPr>
        <w:pStyle w:val="a8"/>
        <w:numPr>
          <w:ilvl w:val="0"/>
          <w:numId w:val="109"/>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 xml:space="preserve">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M020.3(b)</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결정된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자외선차단지수</w:t>
      </w:r>
      <w:r w:rsidRPr="002C7F14">
        <w:rPr>
          <w:rFonts w:asciiTheme="minorEastAsia" w:eastAsiaTheme="minorEastAsia" w:hAnsiTheme="minorEastAsia" w:cs="맑은 고딕"/>
          <w:sz w:val="20"/>
          <w:szCs w:val="20"/>
          <w:lang w:eastAsia="ko-KR"/>
        </w:rPr>
        <w:t xml:space="preserve">(SPF) </w:t>
      </w:r>
      <w:r w:rsidRPr="002C7F14">
        <w:rPr>
          <w:rFonts w:asciiTheme="minorEastAsia" w:eastAsiaTheme="minorEastAsia" w:hAnsiTheme="minorEastAsia" w:cs="맑은 고딕" w:hint="eastAsia"/>
          <w:sz w:val="20"/>
          <w:szCs w:val="20"/>
          <w:lang w:eastAsia="ko-KR"/>
        </w:rPr>
        <w:t>값이</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M020.80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w:t>
      </w:r>
      <w:r w:rsidRPr="002C7F14">
        <w:rPr>
          <w:rFonts w:asciiTheme="minorEastAsia" w:eastAsiaTheme="minorEastAsia" w:hAnsiTheme="minorEastAsia" w:cs="맑은 고딕"/>
          <w:sz w:val="20"/>
          <w:szCs w:val="20"/>
          <w:lang w:eastAsia="ko-KR"/>
        </w:rPr>
        <w:t xml:space="preserve"> 15 </w:t>
      </w:r>
      <w:r w:rsidRPr="002C7F14">
        <w:rPr>
          <w:rFonts w:asciiTheme="minorEastAsia" w:eastAsiaTheme="minorEastAsia" w:hAnsiTheme="minorEastAsia" w:cs="맑은 고딕" w:hint="eastAsia"/>
          <w:sz w:val="20"/>
          <w:szCs w:val="20"/>
          <w:lang w:eastAsia="ko-KR"/>
        </w:rPr>
        <w:t>미만이고</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이거나</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M020.90</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광범위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스펙트럼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통과하지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못했으며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r w:rsidRPr="002C7F14">
        <w:rPr>
          <w:rFonts w:asciiTheme="minorEastAsia" w:eastAsiaTheme="minorEastAsia" w:hAnsiTheme="minorEastAsia" w:cs="맑은 고딕"/>
          <w:sz w:val="20"/>
          <w:szCs w:val="20"/>
          <w:lang w:eastAsia="ko-KR"/>
        </w:rPr>
        <w:t>:</w:t>
      </w:r>
    </w:p>
    <w:p w14:paraId="20ADE7C5"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4AA12B4F" w14:textId="77777777" w:rsidR="00160DDA" w:rsidRPr="002C7F14" w:rsidRDefault="00160DDA" w:rsidP="003B394A">
      <w:pPr>
        <w:pStyle w:val="a8"/>
        <w:numPr>
          <w:ilvl w:val="0"/>
          <w:numId w:val="110"/>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햇빛으로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줄인다</w:t>
      </w:r>
      <w:r w:rsidRPr="002C7F14">
        <w:rPr>
          <w:rFonts w:asciiTheme="minorEastAsia" w:eastAsiaTheme="minorEastAsia" w:hAnsiTheme="minorEastAsia" w:cs="맑은 고딕"/>
          <w:sz w:val="20"/>
          <w:szCs w:val="20"/>
          <w:lang w:eastAsia="ko-KR"/>
        </w:rPr>
        <w:t xml:space="preserve">. </w:t>
      </w:r>
    </w:p>
    <w:p w14:paraId="24075F20" w14:textId="77777777" w:rsidR="00160DDA" w:rsidRPr="002C7F14" w:rsidRDefault="00160DDA" w:rsidP="003B394A">
      <w:pPr>
        <w:spacing w:line="264" w:lineRule="auto"/>
        <w:ind w:left="426"/>
        <w:jc w:val="both"/>
        <w:rPr>
          <w:rFonts w:asciiTheme="minorEastAsia" w:eastAsiaTheme="minorEastAsia" w:hAnsiTheme="minorEastAsia" w:cs="맑은 고딕"/>
          <w:sz w:val="20"/>
          <w:szCs w:val="20"/>
          <w:lang w:eastAsia="ko-KR"/>
        </w:rPr>
      </w:pPr>
    </w:p>
    <w:p w14:paraId="49D917E8" w14:textId="77777777" w:rsidR="00160DDA" w:rsidRPr="002C7F14" w:rsidRDefault="00160DDA" w:rsidP="003B394A">
      <w:pPr>
        <w:pStyle w:val="a8"/>
        <w:numPr>
          <w:ilvl w:val="0"/>
          <w:numId w:val="110"/>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햇빛으로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피부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노화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위험을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줄인다</w:t>
      </w:r>
      <w:r w:rsidRPr="002C7F14">
        <w:rPr>
          <w:rFonts w:asciiTheme="minorEastAsia" w:eastAsiaTheme="minorEastAsia" w:hAnsiTheme="minorEastAsia" w:cs="맑은 고딕"/>
          <w:sz w:val="20"/>
          <w:szCs w:val="20"/>
          <w:lang w:eastAsia="ko-KR"/>
        </w:rPr>
        <w:t>.</w:t>
      </w:r>
    </w:p>
    <w:p w14:paraId="2876EB7C"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7534C378" w14:textId="77777777" w:rsidR="00160DDA" w:rsidRPr="002C7F14" w:rsidRDefault="00160DDA" w:rsidP="003B394A">
      <w:pPr>
        <w:pStyle w:val="a8"/>
        <w:numPr>
          <w:ilvl w:val="0"/>
          <w:numId w:val="109"/>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유사한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r w:rsidRPr="002C7F14">
        <w:rPr>
          <w:rFonts w:asciiTheme="minorEastAsia" w:eastAsiaTheme="minorEastAsia" w:hAnsiTheme="minorEastAsia" w:cs="맑은 고딕"/>
          <w:sz w:val="20"/>
          <w:szCs w:val="20"/>
          <w:lang w:eastAsia="ko-KR"/>
        </w:rPr>
        <w:t>:</w:t>
      </w:r>
    </w:p>
    <w:p w14:paraId="043BC11E"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036C4C62" w14:textId="77777777" w:rsidR="00160DDA" w:rsidRPr="002C7F14" w:rsidRDefault="00160DDA" w:rsidP="003B394A">
      <w:pPr>
        <w:pStyle w:val="a8"/>
        <w:numPr>
          <w:ilvl w:val="0"/>
          <w:numId w:val="111"/>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즉각적인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즉시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p>
    <w:p w14:paraId="6CBAECB8" w14:textId="77777777" w:rsidR="00160DDA" w:rsidRPr="002C7F14" w:rsidRDefault="00160DDA" w:rsidP="003B394A">
      <w:pPr>
        <w:spacing w:line="264" w:lineRule="auto"/>
        <w:ind w:left="426"/>
        <w:jc w:val="both"/>
        <w:rPr>
          <w:rFonts w:asciiTheme="minorEastAsia" w:eastAsiaTheme="minorEastAsia" w:hAnsiTheme="minorEastAsia" w:cs="맑은 고딕"/>
          <w:sz w:val="20"/>
          <w:szCs w:val="20"/>
          <w:lang w:eastAsia="ko-KR"/>
        </w:rPr>
      </w:pPr>
    </w:p>
    <w:p w14:paraId="5A18339F" w14:textId="77777777" w:rsidR="00160DDA" w:rsidRPr="002C7F14" w:rsidRDefault="00160DDA" w:rsidP="003B394A">
      <w:pPr>
        <w:pStyle w:val="a8"/>
        <w:numPr>
          <w:ilvl w:val="0"/>
          <w:numId w:val="111"/>
        </w:numPr>
        <w:spacing w:line="264" w:lineRule="auto"/>
        <w:ind w:leftChars="0" w:left="426"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종일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적용</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일치하지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언급한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장시간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효과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주장</w:t>
      </w:r>
    </w:p>
    <w:p w14:paraId="6EB3DAD7" w14:textId="77777777" w:rsidR="00160DDA" w:rsidRPr="002C7F14" w:rsidRDefault="00160DDA" w:rsidP="00160DDA">
      <w:pPr>
        <w:spacing w:line="264" w:lineRule="auto"/>
        <w:jc w:val="both"/>
        <w:rPr>
          <w:rFonts w:asciiTheme="minorEastAsia" w:eastAsiaTheme="minorEastAsia" w:hAnsiTheme="minorEastAsia" w:cs="맑은 고딕"/>
          <w:sz w:val="20"/>
          <w:szCs w:val="20"/>
          <w:lang w:eastAsia="ko-KR"/>
        </w:rPr>
      </w:pPr>
    </w:p>
    <w:p w14:paraId="20DAAEB3" w14:textId="04DF55A2" w:rsidR="00D2266B" w:rsidRPr="002C7F14" w:rsidRDefault="00160DDA" w:rsidP="003B394A">
      <w:pPr>
        <w:pStyle w:val="a8"/>
        <w:numPr>
          <w:ilvl w:val="0"/>
          <w:numId w:val="109"/>
        </w:numPr>
        <w:tabs>
          <w:tab w:val="left" w:pos="426"/>
        </w:tabs>
        <w:spacing w:line="264" w:lineRule="auto"/>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자외선차단제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방충제의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조합으로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라벨링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표시되거나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홍보되는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p>
    <w:p w14:paraId="7F9DE8E5" w14:textId="67FC9412" w:rsidR="00096447" w:rsidRPr="002C7F14" w:rsidRDefault="00096447" w:rsidP="003B394A">
      <w:pPr>
        <w:jc w:val="both"/>
        <w:rPr>
          <w:rFonts w:asciiTheme="minorEastAsia" w:eastAsiaTheme="minorEastAsia" w:hAnsiTheme="minorEastAsia" w:cs="맑은 고딕"/>
          <w:sz w:val="20"/>
          <w:szCs w:val="20"/>
          <w:lang w:eastAsia="ko-KR"/>
        </w:rPr>
      </w:pPr>
    </w:p>
    <w:p w14:paraId="28AFFBEA" w14:textId="77777777" w:rsidR="00160DDA" w:rsidRPr="002C7F14" w:rsidRDefault="00160DDA" w:rsidP="003B394A">
      <w:pPr>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w:t>
      </w:r>
      <w:r w:rsidRPr="002C7F14">
        <w:rPr>
          <w:rFonts w:asciiTheme="minorEastAsia" w:eastAsiaTheme="minorEastAsia" w:hAnsiTheme="minorEastAsia" w:cs="맑은 고딕"/>
          <w:b/>
          <w:sz w:val="20"/>
          <w:szCs w:val="20"/>
          <w:lang w:eastAsia="ko-KR"/>
        </w:rPr>
        <w:t xml:space="preserve"> NM020.20 </w:t>
      </w:r>
      <w:r w:rsidRPr="002C7F14">
        <w:rPr>
          <w:rFonts w:asciiTheme="minorEastAsia" w:eastAsiaTheme="minorEastAsia" w:hAnsiTheme="minorEastAsia" w:cs="맑은 고딕" w:hint="eastAsia"/>
          <w:b/>
          <w:sz w:val="20"/>
          <w:szCs w:val="20"/>
          <w:lang w:eastAsia="ko-KR"/>
        </w:rPr>
        <w:t>비모노그래프</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투여</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형태</w:t>
      </w:r>
      <w:r w:rsidRPr="002C7F14">
        <w:rPr>
          <w:rFonts w:asciiTheme="minorEastAsia" w:eastAsiaTheme="minorEastAsia" w:hAnsiTheme="minorEastAsia" w:cs="맑은 고딕"/>
          <w:b/>
          <w:sz w:val="20"/>
          <w:szCs w:val="20"/>
          <w:lang w:eastAsia="ko-KR"/>
        </w:rPr>
        <w:t xml:space="preserve"> </w:t>
      </w:r>
      <w:r w:rsidRPr="002C7F14">
        <w:rPr>
          <w:rFonts w:asciiTheme="minorEastAsia" w:eastAsiaTheme="minorEastAsia" w:hAnsiTheme="minorEastAsia" w:cs="맑은 고딕" w:hint="eastAsia"/>
          <w:b/>
          <w:sz w:val="20"/>
          <w:szCs w:val="20"/>
          <w:lang w:eastAsia="ko-KR"/>
        </w:rPr>
        <w:t>조건</w:t>
      </w:r>
    </w:p>
    <w:p w14:paraId="026012A8"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3AB877EB" w14:textId="77777777" w:rsidR="00160DDA" w:rsidRPr="002C7F14" w:rsidRDefault="00160DDA" w:rsidP="003B394A">
      <w:pPr>
        <w:pStyle w:val="a8"/>
        <w:numPr>
          <w:ilvl w:val="0"/>
          <w:numId w:val="112"/>
        </w:numPr>
        <w:tabs>
          <w:tab w:val="left" w:pos="426"/>
        </w:tabs>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오일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로션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크림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버터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페이스트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스프레이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이외의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제품</w:t>
      </w:r>
    </w:p>
    <w:p w14:paraId="51DD57C0" w14:textId="77777777" w:rsidR="00160DDA" w:rsidRPr="002C7F14" w:rsidRDefault="00160DDA" w:rsidP="003B394A">
      <w:pPr>
        <w:tabs>
          <w:tab w:val="left" w:pos="426"/>
        </w:tabs>
        <w:jc w:val="both"/>
        <w:rPr>
          <w:rFonts w:asciiTheme="minorEastAsia" w:eastAsiaTheme="minorEastAsia" w:hAnsiTheme="minorEastAsia" w:cs="맑은 고딕"/>
          <w:sz w:val="20"/>
          <w:szCs w:val="20"/>
          <w:lang w:eastAsia="ko-KR"/>
        </w:rPr>
      </w:pPr>
    </w:p>
    <w:p w14:paraId="337C4860" w14:textId="77777777" w:rsidR="00160DDA" w:rsidRPr="002C7F14" w:rsidRDefault="00160DDA" w:rsidP="003B394A">
      <w:pPr>
        <w:pStyle w:val="a8"/>
        <w:numPr>
          <w:ilvl w:val="0"/>
          <w:numId w:val="112"/>
        </w:numPr>
        <w:tabs>
          <w:tab w:val="left" w:pos="426"/>
        </w:tabs>
        <w:ind w:leftChars="0" w:left="0"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다음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특성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하나를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갖는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스프레이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투여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형태의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w:t>
      </w:r>
      <w:r w:rsidRPr="002C7F14">
        <w:rPr>
          <w:rFonts w:asciiTheme="minorEastAsia" w:eastAsiaTheme="minorEastAsia" w:hAnsiTheme="minorEastAsia" w:cs="맑은 고딕"/>
          <w:sz w:val="20"/>
          <w:szCs w:val="20"/>
          <w:lang w:eastAsia="ko-KR"/>
        </w:rPr>
        <w:t>:</w:t>
      </w:r>
    </w:p>
    <w:p w14:paraId="41F16CBB"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65E52450" w14:textId="77777777" w:rsidR="00160DDA" w:rsidRPr="002C7F14" w:rsidRDefault="00160DDA" w:rsidP="00A70C97">
      <w:pPr>
        <w:pStyle w:val="a8"/>
        <w:numPr>
          <w:ilvl w:val="0"/>
          <w:numId w:val="113"/>
        </w:numPr>
        <w:tabs>
          <w:tab w:val="left" w:pos="851"/>
        </w:tabs>
        <w:ind w:leftChars="193" w:left="425"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51</w:t>
      </w:r>
      <w:r w:rsidRPr="002C7F14">
        <w:rPr>
          <w:rFonts w:asciiTheme="minorEastAsia" w:eastAsiaTheme="minorEastAsia" w:hAnsiTheme="minorEastAsia" w:cs="맑은 고딕" w:hint="eastAsia"/>
          <w:sz w:val="20"/>
          <w:szCs w:val="20"/>
          <w:lang w:eastAsia="ko-KR"/>
        </w:rPr>
        <w:t>권</w:t>
      </w:r>
      <w:r w:rsidRPr="002C7F14">
        <w:rPr>
          <w:rFonts w:asciiTheme="minorEastAsia" w:eastAsiaTheme="minorEastAsia" w:hAnsiTheme="minorEastAsia" w:cs="맑은 고딕"/>
          <w:sz w:val="20"/>
          <w:szCs w:val="20"/>
          <w:lang w:eastAsia="ko-KR"/>
        </w:rPr>
        <w:t xml:space="preserve"> 28539 </w:t>
      </w:r>
      <w:r w:rsidRPr="002C7F14">
        <w:rPr>
          <w:rFonts w:asciiTheme="minorEastAsia" w:eastAsiaTheme="minorEastAsia" w:hAnsiTheme="minorEastAsia" w:cs="맑은 고딕" w:hint="eastAsia"/>
          <w:sz w:val="20"/>
          <w:szCs w:val="20"/>
          <w:lang w:eastAsia="ko-KR"/>
        </w:rPr>
        <w:t>페이지</w:t>
      </w:r>
      <w:r w:rsidRPr="002C7F14">
        <w:rPr>
          <w:rFonts w:asciiTheme="minorEastAsia" w:eastAsiaTheme="minorEastAsia" w:hAnsiTheme="minorEastAsia" w:cs="맑은 고딕"/>
          <w:sz w:val="20"/>
          <w:szCs w:val="20"/>
          <w:lang w:eastAsia="ko-KR"/>
        </w:rPr>
        <w:t>(1986</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월</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일</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16</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1500.43a</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M020.3(d)</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극인화성</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충족한다</w:t>
      </w:r>
      <w:r w:rsidRPr="002C7F14">
        <w:rPr>
          <w:rFonts w:asciiTheme="minorEastAsia" w:eastAsiaTheme="minorEastAsia" w:hAnsiTheme="minorEastAsia" w:cs="맑은 고딕"/>
          <w:sz w:val="20"/>
          <w:szCs w:val="20"/>
          <w:lang w:eastAsia="ko-KR"/>
        </w:rPr>
        <w:t>.</w:t>
      </w:r>
    </w:p>
    <w:p w14:paraId="22AEFDDC" w14:textId="77777777" w:rsidR="00160DDA" w:rsidRPr="002C7F14" w:rsidRDefault="00160DDA" w:rsidP="00A70C97">
      <w:pPr>
        <w:tabs>
          <w:tab w:val="left" w:pos="851"/>
        </w:tabs>
        <w:ind w:leftChars="193" w:left="425"/>
        <w:jc w:val="both"/>
        <w:rPr>
          <w:rFonts w:asciiTheme="minorEastAsia" w:eastAsiaTheme="minorEastAsia" w:hAnsiTheme="minorEastAsia" w:cs="맑은 고딕"/>
          <w:sz w:val="20"/>
          <w:szCs w:val="20"/>
          <w:lang w:eastAsia="ko-KR"/>
        </w:rPr>
      </w:pPr>
    </w:p>
    <w:p w14:paraId="2E4DB0DF" w14:textId="77777777" w:rsidR="00160DDA" w:rsidRPr="002C7F14" w:rsidRDefault="00160DDA" w:rsidP="00A70C97">
      <w:pPr>
        <w:pStyle w:val="a8"/>
        <w:numPr>
          <w:ilvl w:val="0"/>
          <w:numId w:val="113"/>
        </w:numPr>
        <w:tabs>
          <w:tab w:val="left" w:pos="851"/>
        </w:tabs>
        <w:ind w:leftChars="193" w:left="425"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소비자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초과하는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비율이</w:t>
      </w:r>
      <w:r w:rsidRPr="002C7F14">
        <w:rPr>
          <w:rFonts w:asciiTheme="minorEastAsia" w:eastAsiaTheme="minorEastAsia" w:hAnsiTheme="minorEastAsia" w:cs="맑은 고딕"/>
          <w:sz w:val="20"/>
          <w:szCs w:val="20"/>
          <w:lang w:eastAsia="ko-KR"/>
        </w:rPr>
        <w:t xml:space="preserve"> 10 </w:t>
      </w:r>
      <w:r w:rsidRPr="002C7F14">
        <w:rPr>
          <w:rFonts w:asciiTheme="minorEastAsia" w:eastAsiaTheme="minorEastAsia" w:hAnsiTheme="minorEastAsia" w:cs="맑은 고딕" w:hint="eastAsia"/>
          <w:sz w:val="20"/>
          <w:szCs w:val="20"/>
          <w:lang w:eastAsia="ko-KR"/>
        </w:rPr>
        <w:t>마이크로미터보다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작다</w:t>
      </w:r>
      <w:r w:rsidRPr="002C7F14">
        <w:rPr>
          <w:rFonts w:asciiTheme="minorEastAsia" w:eastAsiaTheme="minorEastAsia" w:hAnsiTheme="minorEastAsia" w:cs="맑은 고딕"/>
          <w:sz w:val="20"/>
          <w:szCs w:val="20"/>
          <w:lang w:eastAsia="ko-KR"/>
        </w:rPr>
        <w:t>.</w:t>
      </w:r>
    </w:p>
    <w:p w14:paraId="75872D94" w14:textId="77777777" w:rsidR="00160DDA" w:rsidRPr="002C7F14" w:rsidRDefault="00160DDA" w:rsidP="00A70C97">
      <w:pPr>
        <w:tabs>
          <w:tab w:val="left" w:pos="851"/>
        </w:tabs>
        <w:ind w:leftChars="193" w:left="425"/>
        <w:jc w:val="both"/>
        <w:rPr>
          <w:rFonts w:asciiTheme="minorEastAsia" w:eastAsiaTheme="minorEastAsia" w:hAnsiTheme="minorEastAsia" w:cs="맑은 고딕"/>
          <w:sz w:val="20"/>
          <w:szCs w:val="20"/>
          <w:lang w:eastAsia="ko-KR"/>
        </w:rPr>
      </w:pPr>
    </w:p>
    <w:p w14:paraId="5DEC8D69" w14:textId="77777777" w:rsidR="00160DDA" w:rsidRPr="002C7F14" w:rsidRDefault="00160DDA" w:rsidP="00A70C97">
      <w:pPr>
        <w:pStyle w:val="a8"/>
        <w:numPr>
          <w:ilvl w:val="0"/>
          <w:numId w:val="113"/>
        </w:numPr>
        <w:tabs>
          <w:tab w:val="left" w:pos="851"/>
        </w:tabs>
        <w:ind w:leftChars="193" w:left="425"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소비자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용기에서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분사된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입자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중</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일부가</w:t>
      </w:r>
      <w:r w:rsidRPr="002C7F14">
        <w:rPr>
          <w:rFonts w:asciiTheme="minorEastAsia" w:eastAsiaTheme="minorEastAsia" w:hAnsiTheme="minorEastAsia" w:cs="맑은 고딕"/>
          <w:sz w:val="20"/>
          <w:szCs w:val="20"/>
          <w:lang w:eastAsia="ko-KR"/>
        </w:rPr>
        <w:t xml:space="preserve"> 5 </w:t>
      </w:r>
      <w:r w:rsidRPr="002C7F14">
        <w:rPr>
          <w:rFonts w:asciiTheme="minorEastAsia" w:eastAsiaTheme="minorEastAsia" w:hAnsiTheme="minorEastAsia" w:cs="맑은 고딕" w:hint="eastAsia"/>
          <w:sz w:val="20"/>
          <w:szCs w:val="20"/>
          <w:lang w:eastAsia="ko-KR"/>
        </w:rPr>
        <w:t>마이크로미터보다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작다</w:t>
      </w:r>
      <w:r w:rsidRPr="002C7F14">
        <w:rPr>
          <w:rFonts w:asciiTheme="minorEastAsia" w:eastAsiaTheme="minorEastAsia" w:hAnsiTheme="minorEastAsia" w:cs="맑은 고딕"/>
          <w:sz w:val="20"/>
          <w:szCs w:val="20"/>
          <w:lang w:eastAsia="ko-KR"/>
        </w:rPr>
        <w:t>.</w:t>
      </w:r>
    </w:p>
    <w:p w14:paraId="56F9DEB8" w14:textId="77777777" w:rsidR="00160DDA" w:rsidRPr="002C7F14" w:rsidRDefault="00160DDA" w:rsidP="00A70C97">
      <w:pPr>
        <w:tabs>
          <w:tab w:val="left" w:pos="851"/>
        </w:tabs>
        <w:ind w:leftChars="193" w:left="425"/>
        <w:jc w:val="both"/>
        <w:rPr>
          <w:rFonts w:asciiTheme="minorEastAsia" w:eastAsiaTheme="minorEastAsia" w:hAnsiTheme="minorEastAsia" w:cs="맑은 고딕"/>
          <w:sz w:val="20"/>
          <w:szCs w:val="20"/>
          <w:lang w:eastAsia="ko-KR"/>
        </w:rPr>
      </w:pPr>
    </w:p>
    <w:p w14:paraId="4AE2100F" w14:textId="77777777" w:rsidR="00160DDA" w:rsidRPr="002C7F14" w:rsidRDefault="00160DDA" w:rsidP="00A70C97">
      <w:pPr>
        <w:pStyle w:val="a8"/>
        <w:numPr>
          <w:ilvl w:val="0"/>
          <w:numId w:val="113"/>
        </w:numPr>
        <w:tabs>
          <w:tab w:val="left" w:pos="851"/>
        </w:tabs>
        <w:ind w:leftChars="193" w:left="425" w:firstLine="0"/>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제품이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51</w:t>
      </w:r>
      <w:r w:rsidRPr="002C7F14">
        <w:rPr>
          <w:rFonts w:asciiTheme="minorEastAsia" w:eastAsiaTheme="minorEastAsia" w:hAnsiTheme="minorEastAsia" w:cs="맑은 고딕" w:hint="eastAsia"/>
          <w:sz w:val="20"/>
          <w:szCs w:val="20"/>
          <w:lang w:eastAsia="ko-KR"/>
        </w:rPr>
        <w:t>권</w:t>
      </w:r>
      <w:r w:rsidRPr="002C7F14">
        <w:rPr>
          <w:rFonts w:asciiTheme="minorEastAsia" w:eastAsiaTheme="minorEastAsia" w:hAnsiTheme="minorEastAsia" w:cs="맑은 고딕"/>
          <w:sz w:val="20"/>
          <w:szCs w:val="20"/>
          <w:lang w:eastAsia="ko-KR"/>
        </w:rPr>
        <w:t xml:space="preserve"> 28539 </w:t>
      </w:r>
      <w:r w:rsidRPr="002C7F14">
        <w:rPr>
          <w:rFonts w:asciiTheme="minorEastAsia" w:eastAsiaTheme="minorEastAsia" w:hAnsiTheme="minorEastAsia" w:cs="맑은 고딕" w:hint="eastAsia"/>
          <w:sz w:val="20"/>
          <w:szCs w:val="20"/>
          <w:lang w:eastAsia="ko-KR"/>
        </w:rPr>
        <w:t>페이지</w:t>
      </w:r>
      <w:r w:rsidRPr="002C7F14">
        <w:rPr>
          <w:rFonts w:asciiTheme="minorEastAsia" w:eastAsiaTheme="minorEastAsia" w:hAnsiTheme="minorEastAsia" w:cs="맑은 고딕"/>
          <w:sz w:val="20"/>
          <w:szCs w:val="20"/>
          <w:lang w:eastAsia="ko-KR"/>
        </w:rPr>
        <w:t>(1986</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월</w:t>
      </w:r>
      <w:r w:rsidRPr="002C7F14">
        <w:rPr>
          <w:rFonts w:asciiTheme="minorEastAsia" w:eastAsiaTheme="minorEastAsia" w:hAnsiTheme="minorEastAsia" w:cs="맑은 고딕"/>
          <w:sz w:val="20"/>
          <w:szCs w:val="20"/>
          <w:lang w:eastAsia="ko-KR"/>
        </w:rPr>
        <w:t xml:space="preserve"> 8</w:t>
      </w:r>
      <w:r w:rsidRPr="002C7F14">
        <w:rPr>
          <w:rFonts w:asciiTheme="minorEastAsia" w:eastAsiaTheme="minorEastAsia" w:hAnsiTheme="minorEastAsia" w:cs="맑은 고딕" w:hint="eastAsia"/>
          <w:sz w:val="20"/>
          <w:szCs w:val="20"/>
          <w:lang w:eastAsia="ko-KR"/>
        </w:rPr>
        <w:t>일</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고시된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연방규정</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16</w:t>
      </w:r>
      <w:r w:rsidRPr="002C7F14">
        <w:rPr>
          <w:rFonts w:asciiTheme="minorEastAsia" w:eastAsiaTheme="minorEastAsia" w:hAnsiTheme="minorEastAsia" w:cs="맑은 고딕" w:hint="eastAsia"/>
          <w:sz w:val="20"/>
          <w:szCs w:val="20"/>
          <w:lang w:eastAsia="ko-KR"/>
        </w:rPr>
        <w:t>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w:t>
      </w:r>
      <w:r w:rsidRPr="002C7F14">
        <w:rPr>
          <w:rFonts w:asciiTheme="minorEastAsia" w:eastAsiaTheme="minorEastAsia" w:hAnsiTheme="minorEastAsia" w:cs="맑은 고딕"/>
          <w:sz w:val="20"/>
          <w:szCs w:val="20"/>
          <w:lang w:eastAsia="ko-KR"/>
        </w:rPr>
        <w:t>1500.43a</w:t>
      </w:r>
      <w:r w:rsidRPr="002C7F14">
        <w:rPr>
          <w:rFonts w:asciiTheme="minorEastAsia" w:eastAsiaTheme="minorEastAsia" w:hAnsiTheme="minorEastAsia" w:cs="맑은 고딕" w:hint="eastAsia"/>
          <w:sz w:val="20"/>
          <w:szCs w:val="20"/>
          <w:lang w:eastAsia="ko-KR"/>
        </w:rPr>
        <w:t>조에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시험했을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w:t>
      </w:r>
      <w:r w:rsidRPr="002C7F14">
        <w:rPr>
          <w:rFonts w:asciiTheme="minorEastAsia" w:eastAsiaTheme="minorEastAsia" w:hAnsiTheme="minorEastAsia" w:cs="맑은 고딕"/>
          <w:sz w:val="20"/>
          <w:szCs w:val="20"/>
          <w:lang w:eastAsia="ko-KR"/>
        </w:rPr>
        <w:t xml:space="preserve"> OTC </w:t>
      </w:r>
      <w:r w:rsidRPr="002C7F14">
        <w:rPr>
          <w:rFonts w:asciiTheme="minorEastAsia" w:eastAsiaTheme="minorEastAsia" w:hAnsiTheme="minorEastAsia" w:cs="맑은 고딕" w:hint="eastAsia"/>
          <w:sz w:val="20"/>
          <w:szCs w:val="20"/>
          <w:lang w:eastAsia="ko-KR"/>
        </w:rPr>
        <w:t>모노그래프</w:t>
      </w:r>
      <w:r w:rsidRPr="002C7F14">
        <w:rPr>
          <w:rFonts w:asciiTheme="minorEastAsia" w:eastAsiaTheme="minorEastAsia" w:hAnsiTheme="minorEastAsia" w:cs="맑은 고딕"/>
          <w:sz w:val="20"/>
          <w:szCs w:val="20"/>
          <w:lang w:eastAsia="ko-KR"/>
        </w:rPr>
        <w:t xml:space="preserve"> M020</w:t>
      </w:r>
      <w:r w:rsidRPr="002C7F14">
        <w:rPr>
          <w:rFonts w:asciiTheme="minorEastAsia" w:eastAsiaTheme="minorEastAsia" w:hAnsiTheme="minorEastAsia" w:cs="맑은 고딕" w:hint="eastAsia"/>
          <w:sz w:val="20"/>
          <w:szCs w:val="20"/>
          <w:lang w:eastAsia="ko-KR"/>
        </w:rPr>
        <w:t>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w:t>
      </w:r>
      <w:r w:rsidRPr="002C7F14">
        <w:rPr>
          <w:rFonts w:asciiTheme="minorEastAsia" w:eastAsiaTheme="minorEastAsia" w:hAnsiTheme="minorEastAsia" w:cs="맑은 고딕"/>
          <w:sz w:val="20"/>
          <w:szCs w:val="20"/>
          <w:lang w:eastAsia="ko-KR"/>
        </w:rPr>
        <w:t xml:space="preserve"> M020.3(e)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(f)</w:t>
      </w:r>
      <w:r w:rsidRPr="002C7F14">
        <w:rPr>
          <w:rFonts w:asciiTheme="minorEastAsia" w:eastAsiaTheme="minorEastAsia" w:hAnsiTheme="minorEastAsia" w:cs="맑은 고딕" w:hint="eastAsia"/>
          <w:sz w:val="20"/>
          <w:szCs w:val="20"/>
          <w:lang w:eastAsia="ko-KR"/>
        </w:rPr>
        <w:t>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인화성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가연성</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이라는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용어의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정의를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충족하며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측정된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건조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시간이</w:t>
      </w:r>
      <w:r w:rsidRPr="002C7F14">
        <w:rPr>
          <w:rFonts w:asciiTheme="minorEastAsia" w:eastAsiaTheme="minorEastAsia" w:hAnsiTheme="minorEastAsia" w:cs="맑은 고딕"/>
          <w:sz w:val="20"/>
          <w:szCs w:val="20"/>
          <w:lang w:eastAsia="ko-KR"/>
        </w:rPr>
        <w:t xml:space="preserve"> 10</w:t>
      </w:r>
      <w:r w:rsidRPr="002C7F14">
        <w:rPr>
          <w:rFonts w:asciiTheme="minorEastAsia" w:eastAsiaTheme="minorEastAsia" w:hAnsiTheme="minorEastAsia" w:cs="맑은 고딕" w:hint="eastAsia"/>
          <w:sz w:val="20"/>
          <w:szCs w:val="20"/>
          <w:lang w:eastAsia="ko-KR"/>
        </w:rPr>
        <w:t>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이상이다</w:t>
      </w:r>
      <w:r w:rsidRPr="002C7F14">
        <w:rPr>
          <w:rFonts w:asciiTheme="minorEastAsia" w:eastAsiaTheme="minorEastAsia" w:hAnsiTheme="minorEastAsia" w:cs="맑은 고딕"/>
          <w:sz w:val="20"/>
          <w:szCs w:val="20"/>
          <w:lang w:eastAsia="ko-KR"/>
        </w:rPr>
        <w:t>.</w:t>
      </w:r>
    </w:p>
    <w:p w14:paraId="265FFAD6" w14:textId="77777777" w:rsidR="00C2007A" w:rsidRPr="002C7F14" w:rsidRDefault="00C2007A" w:rsidP="00C2007A">
      <w:pPr>
        <w:pStyle w:val="a8"/>
        <w:ind w:leftChars="0" w:left="0"/>
        <w:jc w:val="both"/>
        <w:rPr>
          <w:rFonts w:asciiTheme="minorEastAsia" w:eastAsiaTheme="minorEastAsia" w:hAnsiTheme="minorEastAsia" w:cs="맑은 고딕"/>
          <w:sz w:val="20"/>
          <w:szCs w:val="20"/>
          <w:lang w:eastAsia="ko-KR"/>
        </w:rPr>
      </w:pPr>
    </w:p>
    <w:p w14:paraId="5D8EF9C5" w14:textId="6C4DE6EF" w:rsidR="00160DDA" w:rsidRPr="002C7F14" w:rsidRDefault="00C2007A" w:rsidP="00A70C97">
      <w:pPr>
        <w:pStyle w:val="a8"/>
        <w:ind w:leftChars="0"/>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VII.</w:t>
      </w:r>
      <w:r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독점권</w:t>
      </w:r>
    </w:p>
    <w:p w14:paraId="5110F11A"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11FE59ED" w14:textId="77777777" w:rsidR="00160DDA" w:rsidRPr="002C7F14" w:rsidRDefault="00160DDA" w:rsidP="00C2007A">
      <w:pPr>
        <w:ind w:leftChars="193" w:left="425"/>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명령안은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확정될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경우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어떤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기관에도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독점권을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부여하지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않는다</w:t>
      </w:r>
      <w:r w:rsidRPr="002C7F14">
        <w:rPr>
          <w:rFonts w:asciiTheme="minorEastAsia" w:eastAsiaTheme="minorEastAsia" w:hAnsiTheme="minorEastAsia" w:cs="맑은 고딕"/>
          <w:sz w:val="20"/>
          <w:szCs w:val="20"/>
          <w:lang w:eastAsia="ko-KR"/>
        </w:rPr>
        <w:t>.</w:t>
      </w:r>
    </w:p>
    <w:p w14:paraId="65CC86A7"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72569F4A" w14:textId="3C8E72B1" w:rsidR="00160DDA" w:rsidRPr="002C7F14" w:rsidRDefault="00C2007A" w:rsidP="00C2007A">
      <w:pPr>
        <w:pStyle w:val="a8"/>
        <w:ind w:leftChars="0"/>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VIII.</w:t>
      </w:r>
      <w:r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대중의</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의견</w:t>
      </w:r>
    </w:p>
    <w:p w14:paraId="0029C5EF"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5D9B129A" w14:textId="77777777" w:rsidR="00160DDA" w:rsidRPr="002C7F14" w:rsidRDefault="00160DDA" w:rsidP="00C2007A">
      <w:pPr>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sz w:val="20"/>
          <w:szCs w:val="20"/>
          <w:lang w:eastAsia="ko-KR"/>
        </w:rPr>
        <w:t>2011</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11</w:t>
      </w:r>
      <w:r w:rsidRPr="002C7F14">
        <w:rPr>
          <w:rFonts w:asciiTheme="minorEastAsia" w:eastAsiaTheme="minorEastAsia" w:hAnsiTheme="minorEastAsia" w:cs="맑은 고딕" w:hint="eastAsia"/>
          <w:sz w:val="20"/>
          <w:szCs w:val="20"/>
          <w:lang w:eastAsia="ko-KR"/>
        </w:rPr>
        <w:t>월</w:t>
      </w:r>
      <w:r w:rsidRPr="002C7F14">
        <w:rPr>
          <w:rFonts w:asciiTheme="minorEastAsia" w:eastAsiaTheme="minorEastAsia" w:hAnsiTheme="minorEastAsia" w:cs="맑은 고딕"/>
          <w:sz w:val="20"/>
          <w:szCs w:val="20"/>
          <w:lang w:eastAsia="ko-KR"/>
        </w:rPr>
        <w:t xml:space="preserve"> 12</w:t>
      </w:r>
      <w:r w:rsidRPr="002C7F14">
        <w:rPr>
          <w:rFonts w:asciiTheme="minorEastAsia" w:eastAsiaTheme="minorEastAsia" w:hAnsiTheme="minorEastAsia" w:cs="맑은 고딕" w:hint="eastAsia"/>
          <w:sz w:val="20"/>
          <w:szCs w:val="20"/>
          <w:lang w:eastAsia="ko-KR"/>
        </w:rPr>
        <w:t>일까지</w:t>
      </w:r>
      <w:r w:rsidRPr="002C7F14">
        <w:rPr>
          <w:rFonts w:asciiTheme="minorEastAsia" w:eastAsiaTheme="minorEastAsia" w:hAnsiTheme="minorEastAsia" w:cs="맑은 고딕"/>
          <w:sz w:val="20"/>
          <w:szCs w:val="20"/>
          <w:lang w:eastAsia="ko-KR"/>
        </w:rPr>
        <w:t xml:space="preserve"> </w:t>
      </w:r>
      <w:hyperlink r:id="rId29" w:history="1">
        <w:r w:rsidRPr="002C7F14">
          <w:rPr>
            <w:rFonts w:asciiTheme="minorEastAsia" w:eastAsiaTheme="minorEastAsia" w:hAnsiTheme="minorEastAsia" w:cs="맑은 고딕"/>
            <w:sz w:val="20"/>
            <w:szCs w:val="20"/>
            <w:lang w:eastAsia="ko-KR"/>
          </w:rPr>
          <w:t>www.regulations.gov</w:t>
        </w:r>
      </w:hyperlink>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명령안에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문서철</w:t>
      </w:r>
      <w:r w:rsidRPr="002C7F14">
        <w:rPr>
          <w:rFonts w:asciiTheme="minorEastAsia" w:eastAsiaTheme="minorEastAsia" w:hAnsiTheme="minorEastAsia" w:cs="맑은 고딕"/>
          <w:sz w:val="20"/>
          <w:szCs w:val="20"/>
          <w:lang w:eastAsia="ko-KR"/>
        </w:rPr>
        <w:t xml:space="preserve"> FDA-1978-N-0018</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바란다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지침은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명령안의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가용성에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해당</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연방관보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공고를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참조한다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언급한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FDA</w:t>
      </w:r>
      <w:r w:rsidRPr="002C7F14">
        <w:rPr>
          <w:rFonts w:asciiTheme="minorEastAsia" w:eastAsiaTheme="minorEastAsia" w:hAnsiTheme="minorEastAsia" w:cs="맑은 고딕" w:hint="eastAsia"/>
          <w:sz w:val="20"/>
          <w:szCs w:val="20"/>
          <w:lang w:eastAsia="ko-KR"/>
        </w:rPr>
        <w:t>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의견수렴기간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내에</w:t>
      </w:r>
      <w:r w:rsidRPr="002C7F14">
        <w:rPr>
          <w:rFonts w:asciiTheme="minorEastAsia" w:eastAsiaTheme="minorEastAsia" w:hAnsiTheme="minorEastAsia" w:cs="맑은 고딕"/>
          <w:sz w:val="20"/>
          <w:szCs w:val="20"/>
          <w:lang w:eastAsia="ko-KR"/>
        </w:rPr>
        <w:t xml:space="preserve"> 2019</w:t>
      </w:r>
      <w:r w:rsidRPr="002C7F14">
        <w:rPr>
          <w:rFonts w:asciiTheme="minorEastAsia" w:eastAsiaTheme="minorEastAsia" w:hAnsiTheme="minorEastAsia" w:cs="맑은 고딕" w:hint="eastAsia"/>
          <w:sz w:val="20"/>
          <w:szCs w:val="20"/>
          <w:lang w:eastAsia="ko-KR"/>
        </w:rPr>
        <w:t>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규칙안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문서철에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제출되었던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실질적으로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명령안에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간주할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것이다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언급한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바와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같이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명령안에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향후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가능한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신속하게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검토하고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처리할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있도록</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제출자가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규칙안에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제출했던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의견을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다시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제출하지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요청한다</w:t>
      </w:r>
      <w:r w:rsidRPr="002C7F14">
        <w:rPr>
          <w:rFonts w:asciiTheme="minorEastAsia" w:eastAsiaTheme="minorEastAsia" w:hAnsiTheme="minorEastAsia" w:cs="맑은 고딕"/>
          <w:sz w:val="20"/>
          <w:szCs w:val="20"/>
          <w:lang w:eastAsia="ko-KR"/>
        </w:rPr>
        <w:t>.</w:t>
      </w:r>
    </w:p>
    <w:p w14:paraId="2125814E"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36DE49A7" w14:textId="6B0C04FD" w:rsidR="00160DDA" w:rsidRPr="002C7F14" w:rsidRDefault="00C2007A" w:rsidP="00C2007A">
      <w:pPr>
        <w:pStyle w:val="a8"/>
        <w:ind w:leftChars="0"/>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IX.</w:t>
      </w:r>
      <w:r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환경</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영향</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분석</w:t>
      </w:r>
    </w:p>
    <w:p w14:paraId="5FC9728B" w14:textId="471D9CDA" w:rsidR="00096447" w:rsidRPr="002C7F14" w:rsidRDefault="00160DDA" w:rsidP="00C2007A">
      <w:pPr>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인간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환경에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잠재적인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영향을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미칠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판단했다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국가환경정책법에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기관은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자외선차단제에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옥시벤존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옥티녹세이트를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사용하는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것과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관련된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잠재적</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환경</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영향을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평가하기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일반의약품</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자외선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차단</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의약품에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환경영향평가서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작성</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의향 공고</w:t>
      </w:r>
      <w:r w:rsidRPr="002C7F14">
        <w:rPr>
          <w:rFonts w:asciiTheme="minorEastAsia" w:eastAsiaTheme="minorEastAsia" w:hAnsiTheme="minorEastAsia" w:cs="맑은 고딕"/>
          <w:sz w:val="20"/>
          <w:szCs w:val="20"/>
          <w:lang w:eastAsia="ko-KR"/>
        </w:rPr>
        <w:t>(FDA-2021-N-0352)</w:t>
      </w:r>
      <w:r w:rsidRPr="002C7F14">
        <w:rPr>
          <w:rFonts w:asciiTheme="minorEastAsia" w:eastAsiaTheme="minorEastAsia" w:hAnsiTheme="minorEastAsia" w:cs="맑은 고딕" w:hint="eastAsia"/>
          <w:sz w:val="20"/>
          <w:szCs w:val="20"/>
          <w:lang w:eastAsia="ko-KR"/>
        </w:rPr>
        <w:t>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발행했다</w:t>
      </w:r>
      <w:r w:rsidRPr="002C7F14">
        <w:rPr>
          <w:rFonts w:asciiTheme="minorEastAsia" w:eastAsiaTheme="minorEastAsia" w:hAnsiTheme="minorEastAsia" w:cs="맑은 고딕"/>
          <w:sz w:val="20"/>
          <w:szCs w:val="20"/>
          <w:lang w:eastAsia="ko-KR"/>
        </w:rPr>
        <w:t>.</w:t>
      </w:r>
    </w:p>
    <w:p w14:paraId="7607E42C" w14:textId="77777777" w:rsidR="00096447" w:rsidRPr="002C7F14" w:rsidRDefault="00096447" w:rsidP="003B394A">
      <w:pPr>
        <w:jc w:val="both"/>
        <w:rPr>
          <w:rFonts w:asciiTheme="minorEastAsia" w:eastAsiaTheme="minorEastAsia" w:hAnsiTheme="minorEastAsia" w:cs="맑은 고딕"/>
          <w:sz w:val="20"/>
          <w:szCs w:val="20"/>
          <w:lang w:eastAsia="ko-KR"/>
        </w:rPr>
      </w:pPr>
    </w:p>
    <w:p w14:paraId="276CC1F3" w14:textId="0BEAC545" w:rsidR="00160DDA" w:rsidRPr="002C7F14" w:rsidRDefault="00C2007A" w:rsidP="00C2007A">
      <w:pPr>
        <w:pStyle w:val="a8"/>
        <w:ind w:leftChars="0"/>
        <w:jc w:val="both"/>
        <w:rPr>
          <w:rFonts w:asciiTheme="minorEastAsia" w:eastAsiaTheme="minorEastAsia" w:hAnsiTheme="minorEastAsia" w:cs="맑은 고딕"/>
          <w:b/>
          <w:sz w:val="20"/>
          <w:szCs w:val="20"/>
          <w:lang w:eastAsia="ko-KR"/>
        </w:rPr>
      </w:pPr>
      <w:r w:rsidRPr="002C7F14">
        <w:rPr>
          <w:rFonts w:asciiTheme="minorEastAsia" w:eastAsiaTheme="minorEastAsia" w:hAnsiTheme="minorEastAsia" w:cs="맑은 고딕" w:hint="eastAsia"/>
          <w:b/>
          <w:sz w:val="20"/>
          <w:szCs w:val="20"/>
          <w:lang w:eastAsia="ko-KR"/>
        </w:rPr>
        <w:t>X.</w:t>
      </w:r>
      <w:r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참조</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통합을</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위해</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제안된</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참고문헌</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및</w:t>
      </w:r>
      <w:r w:rsidR="00160DDA" w:rsidRPr="002C7F14">
        <w:rPr>
          <w:rFonts w:asciiTheme="minorEastAsia" w:eastAsiaTheme="minorEastAsia" w:hAnsiTheme="minorEastAsia" w:cs="맑은 고딕"/>
          <w:b/>
          <w:sz w:val="20"/>
          <w:szCs w:val="20"/>
          <w:lang w:eastAsia="ko-KR"/>
        </w:rPr>
        <w:t xml:space="preserve"> </w:t>
      </w:r>
      <w:r w:rsidR="00160DDA" w:rsidRPr="002C7F14">
        <w:rPr>
          <w:rFonts w:asciiTheme="minorEastAsia" w:eastAsiaTheme="minorEastAsia" w:hAnsiTheme="minorEastAsia" w:cs="맑은 고딕" w:hint="eastAsia"/>
          <w:b/>
          <w:sz w:val="20"/>
          <w:szCs w:val="20"/>
          <w:lang w:eastAsia="ko-KR"/>
        </w:rPr>
        <w:t>자료</w:t>
      </w:r>
    </w:p>
    <w:p w14:paraId="12594638"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05E79C01" w14:textId="77777777" w:rsidR="00160DDA" w:rsidRPr="002C7F14" w:rsidRDefault="00160DDA" w:rsidP="00C2007A">
      <w:pPr>
        <w:ind w:firstLineChars="213" w:firstLine="426"/>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cs="맑은 고딕" w:hint="eastAsia"/>
          <w:sz w:val="20"/>
          <w:szCs w:val="20"/>
          <w:lang w:eastAsia="ko-KR"/>
        </w:rPr>
        <w:t>별표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표시된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아래의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참고문헌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자료는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식품의약국</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담당관</w:t>
      </w:r>
      <w:r w:rsidRPr="002C7F14">
        <w:rPr>
          <w:rFonts w:asciiTheme="minorEastAsia" w:eastAsiaTheme="minorEastAsia" w:hAnsiTheme="minorEastAsia" w:cs="맑은 고딕"/>
          <w:sz w:val="20"/>
          <w:szCs w:val="20"/>
          <w:lang w:eastAsia="ko-KR"/>
        </w:rPr>
        <w:t>(HFA-305)(</w:t>
      </w:r>
      <w:r w:rsidRPr="002C7F14">
        <w:rPr>
          <w:rFonts w:asciiTheme="minorEastAsia" w:eastAsiaTheme="minorEastAsia" w:hAnsiTheme="minorEastAsia" w:cs="맑은 고딕" w:hint="eastAsia"/>
          <w:sz w:val="20"/>
          <w:szCs w:val="20"/>
          <w:lang w:eastAsia="ko-KR"/>
        </w:rPr>
        <w:t>주소</w:t>
      </w:r>
      <w:r w:rsidRPr="002C7F14">
        <w:rPr>
          <w:rFonts w:asciiTheme="minorEastAsia" w:eastAsiaTheme="minorEastAsia" w:hAnsiTheme="minorEastAsia" w:cs="맑은 고딕"/>
          <w:sz w:val="20"/>
          <w:szCs w:val="20"/>
          <w:lang w:eastAsia="ko-KR"/>
        </w:rPr>
        <w:t>: 5630 Fishers Lane, Rm. 1061, Rockville, MD 20852)</w:t>
      </w:r>
      <w:r w:rsidRPr="002C7F14">
        <w:rPr>
          <w:rFonts w:asciiTheme="minorEastAsia" w:eastAsiaTheme="minorEastAsia" w:hAnsiTheme="minorEastAsia" w:cs="맑은 고딕" w:hint="eastAsia"/>
          <w:sz w:val="20"/>
          <w:szCs w:val="20"/>
          <w:lang w:eastAsia="ko-KR"/>
        </w:rPr>
        <w:t>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월요일부터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금요일까지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오전</w:t>
      </w:r>
      <w:r w:rsidRPr="002C7F14">
        <w:rPr>
          <w:rFonts w:asciiTheme="minorEastAsia" w:eastAsiaTheme="minorEastAsia" w:hAnsiTheme="minorEastAsia" w:cs="맑은 고딕"/>
          <w:sz w:val="20"/>
          <w:szCs w:val="20"/>
          <w:lang w:eastAsia="ko-KR"/>
        </w:rPr>
        <w:t xml:space="preserve"> 9</w:t>
      </w:r>
      <w:r w:rsidRPr="002C7F14">
        <w:rPr>
          <w:rFonts w:asciiTheme="minorEastAsia" w:eastAsiaTheme="minorEastAsia" w:hAnsiTheme="minorEastAsia" w:cs="맑은 고딕" w:hint="eastAsia"/>
          <w:sz w:val="20"/>
          <w:szCs w:val="20"/>
          <w:lang w:eastAsia="ko-KR"/>
        </w:rPr>
        <w:t>시</w:t>
      </w:r>
      <w:r w:rsidRPr="002C7F14">
        <w:rPr>
          <w:rFonts w:asciiTheme="minorEastAsia" w:eastAsiaTheme="minorEastAsia" w:hAnsiTheme="minorEastAsia" w:cs="맑은 고딕"/>
          <w:sz w:val="20"/>
          <w:szCs w:val="20"/>
          <w:lang w:eastAsia="ko-KR"/>
        </w:rPr>
        <w:t>~</w:t>
      </w:r>
      <w:r w:rsidRPr="002C7F14">
        <w:rPr>
          <w:rFonts w:asciiTheme="minorEastAsia" w:eastAsiaTheme="minorEastAsia" w:hAnsiTheme="minorEastAsia" w:cs="맑은 고딕" w:hint="eastAsia"/>
          <w:sz w:val="20"/>
          <w:szCs w:val="20"/>
          <w:lang w:eastAsia="ko-KR"/>
        </w:rPr>
        <w:t>오후</w:t>
      </w:r>
      <w:r w:rsidRPr="002C7F14">
        <w:rPr>
          <w:rFonts w:asciiTheme="minorEastAsia" w:eastAsiaTheme="minorEastAsia" w:hAnsiTheme="minorEastAsia" w:cs="맑은 고딕"/>
          <w:sz w:val="20"/>
          <w:szCs w:val="20"/>
          <w:lang w:eastAsia="ko-KR"/>
        </w:rPr>
        <w:t xml:space="preserve"> 4</w:t>
      </w:r>
      <w:r w:rsidRPr="002C7F14">
        <w:rPr>
          <w:rFonts w:asciiTheme="minorEastAsia" w:eastAsiaTheme="minorEastAsia" w:hAnsiTheme="minorEastAsia" w:cs="맑은 고딕" w:hint="eastAsia"/>
          <w:sz w:val="20"/>
          <w:szCs w:val="20"/>
          <w:lang w:eastAsia="ko-KR"/>
        </w:rPr>
        <w:t>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사이에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열람할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있으며</w:t>
      </w:r>
      <w:r w:rsidRPr="002C7F14">
        <w:rPr>
          <w:rFonts w:asciiTheme="minorEastAsia" w:eastAsiaTheme="minorEastAsia" w:hAnsiTheme="minorEastAsia" w:cs="맑은 고딕"/>
          <w:sz w:val="20"/>
          <w:szCs w:val="20"/>
          <w:lang w:eastAsia="ko-KR"/>
        </w:rPr>
        <w:t xml:space="preserve">, </w:t>
      </w:r>
      <w:hyperlink r:id="rId30" w:history="1">
        <w:r w:rsidRPr="002C7F14">
          <w:rPr>
            <w:rFonts w:asciiTheme="minorEastAsia" w:eastAsiaTheme="minorEastAsia" w:hAnsiTheme="minorEastAsia" w:cs="맑은 고딕"/>
            <w:sz w:val="20"/>
            <w:szCs w:val="20"/>
            <w:lang w:eastAsia="ko-KR"/>
          </w:rPr>
          <w:t>http://www.regulations.gov</w:t>
        </w:r>
      </w:hyperlink>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전자적으로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조회할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명령에서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별표가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참고문헌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자료는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저작권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제한이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때문에</w:t>
      </w:r>
      <w:r w:rsidRPr="002C7F14">
        <w:rPr>
          <w:rFonts w:asciiTheme="minorEastAsia" w:eastAsiaTheme="minorEastAsia" w:hAnsiTheme="minorEastAsia" w:cs="맑은 고딕"/>
          <w:sz w:val="20"/>
          <w:szCs w:val="20"/>
          <w:lang w:eastAsia="ko-KR"/>
        </w:rPr>
        <w:t xml:space="preserve"> </w:t>
      </w:r>
      <w:hyperlink r:id="rId31" w:history="1">
        <w:r w:rsidRPr="002C7F14">
          <w:rPr>
            <w:rFonts w:asciiTheme="minorEastAsia" w:eastAsiaTheme="minorEastAsia" w:hAnsiTheme="minorEastAsia" w:cs="맑은 고딕"/>
            <w:sz w:val="20"/>
            <w:szCs w:val="20"/>
            <w:lang w:eastAsia="ko-KR"/>
          </w:rPr>
          <w:t>http://www.regulations.gov</w:t>
        </w:r>
      </w:hyperlink>
      <w:r w:rsidRPr="002C7F14">
        <w:rPr>
          <w:rFonts w:asciiTheme="minorEastAsia" w:eastAsiaTheme="minorEastAsia" w:hAnsiTheme="minorEastAsia" w:cs="맑은 고딕" w:hint="eastAsia"/>
          <w:sz w:val="20"/>
          <w:szCs w:val="20"/>
          <w:lang w:eastAsia="ko-KR"/>
        </w:rPr>
        <w:t>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전자적으로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조회할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없지만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관리</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담당관을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전술한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장소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및</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열람할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일부는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통합을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위해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제안된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참고문헌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또는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자료와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함께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웹사이트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주소에서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조회할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있으며</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웹사이트는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사본을</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얻는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방법에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대한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추가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정보를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제공할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 FDA</w:t>
      </w:r>
      <w:r w:rsidRPr="002C7F14">
        <w:rPr>
          <w:rFonts w:asciiTheme="minorEastAsia" w:eastAsiaTheme="minorEastAsia" w:hAnsiTheme="minorEastAsia" w:cs="맑은 고딕" w:hint="eastAsia"/>
          <w:sz w:val="20"/>
          <w:szCs w:val="20"/>
          <w:lang w:eastAsia="ko-KR"/>
        </w:rPr>
        <w:t>는</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문서가</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게시된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날짜에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이러한</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웹사이트</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주소를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확인했지만</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시간이</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지남에</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따라</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변경될</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수</w:t>
      </w:r>
      <w:r w:rsidRPr="002C7F14">
        <w:rPr>
          <w:rFonts w:asciiTheme="minorEastAsia" w:eastAsiaTheme="minorEastAsia" w:hAnsiTheme="minorEastAsia" w:cs="맑은 고딕"/>
          <w:sz w:val="20"/>
          <w:szCs w:val="20"/>
          <w:lang w:eastAsia="ko-KR"/>
        </w:rPr>
        <w:t xml:space="preserve"> </w:t>
      </w:r>
      <w:r w:rsidRPr="002C7F14">
        <w:rPr>
          <w:rFonts w:asciiTheme="minorEastAsia" w:eastAsiaTheme="minorEastAsia" w:hAnsiTheme="minorEastAsia" w:cs="맑은 고딕" w:hint="eastAsia"/>
          <w:sz w:val="20"/>
          <w:szCs w:val="20"/>
          <w:lang w:eastAsia="ko-KR"/>
        </w:rPr>
        <w:t>있다</w:t>
      </w:r>
      <w:r w:rsidRPr="002C7F14">
        <w:rPr>
          <w:rFonts w:asciiTheme="minorEastAsia" w:eastAsiaTheme="minorEastAsia" w:hAnsiTheme="minorEastAsia" w:cs="맑은 고딕"/>
          <w:sz w:val="20"/>
          <w:szCs w:val="20"/>
          <w:lang w:eastAsia="ko-KR"/>
        </w:rPr>
        <w:t>.</w:t>
      </w:r>
    </w:p>
    <w:p w14:paraId="215874AF" w14:textId="77777777" w:rsidR="00160DDA" w:rsidRPr="00F23BCA" w:rsidRDefault="00160DDA" w:rsidP="00F23BCA">
      <w:pPr>
        <w:jc w:val="both"/>
        <w:rPr>
          <w:rFonts w:asciiTheme="minorEastAsia" w:eastAsiaTheme="minorEastAsia" w:hAnsiTheme="minorEastAsia" w:cs="맑은 고딕"/>
          <w:sz w:val="20"/>
          <w:szCs w:val="20"/>
          <w:lang w:eastAsia="ko-KR"/>
        </w:rPr>
      </w:pPr>
    </w:p>
    <w:p w14:paraId="54182E99" w14:textId="77777777" w:rsidR="00F23BCA" w:rsidRPr="00F23BCA" w:rsidRDefault="00F23BCA" w:rsidP="00F23BCA">
      <w:pPr>
        <w:pStyle w:val="a9"/>
        <w:jc w:val="both"/>
        <w:rPr>
          <w:rFonts w:asciiTheme="minorEastAsia" w:eastAsiaTheme="minorEastAsia" w:hAnsiTheme="minorEastAsia"/>
          <w:sz w:val="20"/>
          <w:szCs w:val="20"/>
          <w:lang w:eastAsia="ko-KR"/>
        </w:rPr>
      </w:pPr>
      <w:bookmarkStart w:id="19" w:name="_Hlk190444671"/>
      <w:r w:rsidRPr="00F23BCA">
        <w:rPr>
          <w:rFonts w:asciiTheme="minorEastAsia" w:eastAsiaTheme="minorEastAsia" w:hAnsiTheme="minorEastAsia" w:hint="eastAsia"/>
          <w:sz w:val="20"/>
          <w:szCs w:val="20"/>
          <w:lang w:eastAsia="ko-KR"/>
        </w:rPr>
        <w:t xml:space="preserve">Adachi, K., N. Yamada, K. Yamamoto, et al., “In Vivo Effect of Industrial Titanium Dioxide Nanoparticles Experimentally Exposed to Hairless Rat Skin,” </w:t>
      </w:r>
      <w:r w:rsidRPr="00F23BCA">
        <w:rPr>
          <w:rFonts w:asciiTheme="minorEastAsia" w:eastAsiaTheme="minorEastAsia" w:hAnsiTheme="minorEastAsia" w:hint="eastAsia"/>
          <w:i/>
          <w:sz w:val="20"/>
          <w:szCs w:val="20"/>
          <w:lang w:eastAsia="ko-KR"/>
        </w:rPr>
        <w:t>Nanotoxicology</w:t>
      </w:r>
      <w:r w:rsidRPr="00F23BCA">
        <w:rPr>
          <w:rFonts w:asciiTheme="minorEastAsia" w:eastAsiaTheme="minorEastAsia" w:hAnsiTheme="minorEastAsia" w:hint="eastAsia"/>
          <w:sz w:val="20"/>
          <w:szCs w:val="20"/>
          <w:lang w:eastAsia="ko-KR"/>
        </w:rPr>
        <w:t>, vol. 4(3), pp. 296- 306, 2010.</w:t>
      </w:r>
    </w:p>
    <w:p w14:paraId="3EC0839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A842AC3"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Adachi, K., N. Yamada, Y. Yoshida, et al., “Subchronic Exposure of Titanium Dioxide Nanoparticles to Hairless Rat Skin,” </w:t>
      </w:r>
      <w:r w:rsidRPr="00F23BCA">
        <w:rPr>
          <w:rFonts w:asciiTheme="minorEastAsia" w:eastAsiaTheme="minorEastAsia" w:hAnsiTheme="minorEastAsia" w:hint="eastAsia"/>
          <w:i/>
          <w:sz w:val="20"/>
          <w:szCs w:val="20"/>
          <w:lang w:eastAsia="ko-KR"/>
        </w:rPr>
        <w:t>Experimental Dermatology</w:t>
      </w:r>
      <w:r w:rsidRPr="00F23BCA">
        <w:rPr>
          <w:rFonts w:asciiTheme="minorEastAsia" w:eastAsiaTheme="minorEastAsia" w:hAnsiTheme="minorEastAsia" w:hint="eastAsia"/>
          <w:sz w:val="20"/>
          <w:szCs w:val="20"/>
          <w:lang w:eastAsia="ko-KR"/>
        </w:rPr>
        <w:t>, vol. 22(4), pp. 278-283, 2013.</w:t>
      </w:r>
    </w:p>
    <w:p w14:paraId="3B6979E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877089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Agren, M.S., “Influence of Two Vehicles for Zinc Oxide on Zinc Absorption through Intact Skin and Wounds,” </w:t>
      </w:r>
      <w:r w:rsidRPr="00F23BCA">
        <w:rPr>
          <w:rFonts w:asciiTheme="minorEastAsia" w:eastAsiaTheme="minorEastAsia" w:hAnsiTheme="minorEastAsia" w:hint="eastAsia"/>
          <w:i/>
          <w:sz w:val="20"/>
          <w:szCs w:val="20"/>
          <w:lang w:eastAsia="ko-KR"/>
        </w:rPr>
        <w:t xml:space="preserve">Acta Dermato-Venereologica, </w:t>
      </w:r>
      <w:r w:rsidRPr="00F23BCA">
        <w:rPr>
          <w:rFonts w:asciiTheme="minorEastAsia" w:eastAsiaTheme="minorEastAsia" w:hAnsiTheme="minorEastAsia" w:hint="eastAsia"/>
          <w:sz w:val="20"/>
          <w:szCs w:val="20"/>
          <w:lang w:eastAsia="ko-KR"/>
        </w:rPr>
        <w:t>vol. 71(2), pp. 153-156, 1991.</w:t>
      </w:r>
    </w:p>
    <w:p w14:paraId="6992132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3F587C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Agren, M.S., “Percutaneous Absorption of Zinc from Zinc Oxide Applied Topically to Intact Skin in Man,” </w:t>
      </w:r>
      <w:r w:rsidRPr="00F23BCA">
        <w:rPr>
          <w:rFonts w:asciiTheme="minorEastAsia" w:eastAsiaTheme="minorEastAsia" w:hAnsiTheme="minorEastAsia" w:hint="eastAsia"/>
          <w:i/>
          <w:sz w:val="20"/>
          <w:szCs w:val="20"/>
          <w:lang w:eastAsia="ko-KR"/>
        </w:rPr>
        <w:t xml:space="preserve">Dermatologica, </w:t>
      </w:r>
      <w:r w:rsidRPr="00F23BCA">
        <w:rPr>
          <w:rFonts w:asciiTheme="minorEastAsia" w:eastAsiaTheme="minorEastAsia" w:hAnsiTheme="minorEastAsia" w:hint="eastAsia"/>
          <w:sz w:val="20"/>
          <w:szCs w:val="20"/>
          <w:lang w:eastAsia="ko-KR"/>
        </w:rPr>
        <w:t>vol. 180(1), pp. 36-39, 1990a.</w:t>
      </w:r>
    </w:p>
    <w:p w14:paraId="1D66912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2DB0698"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Agren, M.S., “Studies on Zinc in Wound Healing,” </w:t>
      </w:r>
      <w:r w:rsidRPr="00F23BCA">
        <w:rPr>
          <w:rFonts w:asciiTheme="minorEastAsia" w:eastAsiaTheme="minorEastAsia" w:hAnsiTheme="minorEastAsia" w:hint="eastAsia"/>
          <w:i/>
          <w:sz w:val="20"/>
          <w:szCs w:val="20"/>
          <w:lang w:eastAsia="ko-KR"/>
        </w:rPr>
        <w:t xml:space="preserve">Acta Dermato-Venereologica. Supplementum, </w:t>
      </w:r>
      <w:r w:rsidRPr="00F23BCA">
        <w:rPr>
          <w:rFonts w:asciiTheme="minorEastAsia" w:eastAsiaTheme="minorEastAsia" w:hAnsiTheme="minorEastAsia" w:hint="eastAsia"/>
          <w:sz w:val="20"/>
          <w:szCs w:val="20"/>
          <w:lang w:eastAsia="ko-KR"/>
        </w:rPr>
        <w:t>vol. 154, pp. 1-36, 1990b.</w:t>
      </w:r>
    </w:p>
    <w:p w14:paraId="2798BA0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924887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Alexopoulos, E., E. Papagianni, M. Leontsini, et al., “Para-Amino-Benzoic Acid (PABA) and Chronic Tubulointerstitial Nephritis,” </w:t>
      </w:r>
      <w:r w:rsidRPr="00F23BCA">
        <w:rPr>
          <w:rFonts w:asciiTheme="minorEastAsia" w:eastAsiaTheme="minorEastAsia" w:hAnsiTheme="minorEastAsia" w:hint="eastAsia"/>
          <w:i/>
          <w:sz w:val="20"/>
          <w:szCs w:val="20"/>
          <w:lang w:eastAsia="ko-KR"/>
        </w:rPr>
        <w:t>Clinical Nephrology</w:t>
      </w:r>
      <w:r w:rsidRPr="00F23BCA">
        <w:rPr>
          <w:rFonts w:asciiTheme="minorEastAsia" w:eastAsiaTheme="minorEastAsia" w:hAnsiTheme="minorEastAsia" w:hint="eastAsia"/>
          <w:sz w:val="20"/>
          <w:szCs w:val="20"/>
          <w:lang w:eastAsia="ko-KR"/>
        </w:rPr>
        <w:t>, vol. 40(6), pp. 359-360, 1993.</w:t>
      </w:r>
    </w:p>
    <w:p w14:paraId="79940E6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FF86E3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noProof/>
          <w:sz w:val="20"/>
          <w:szCs w:val="20"/>
          <w:lang w:eastAsia="ko-KR"/>
        </w:rPr>
        <mc:AlternateContent>
          <mc:Choice Requires="wps">
            <w:drawing>
              <wp:anchor distT="0" distB="0" distL="114300" distR="114300" simplePos="0" relativeHeight="251662848" behindDoc="0" locked="0" layoutInCell="1" allowOverlap="1" wp14:anchorId="217E84F2" wp14:editId="0DBEFBA7">
                <wp:simplePos x="0" y="0"/>
                <wp:positionH relativeFrom="page">
                  <wp:posOffset>5143500</wp:posOffset>
                </wp:positionH>
                <wp:positionV relativeFrom="paragraph">
                  <wp:posOffset>509270</wp:posOffset>
                </wp:positionV>
                <wp:extent cx="42545" cy="7620"/>
                <wp:effectExtent l="0" t="0" r="0" b="0"/>
                <wp:wrapNone/>
                <wp:docPr id="1832320537"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4AF65" id="docshape62" o:spid="_x0000_s1026" style="position:absolute;left:0;text-align:left;margin-left:405pt;margin-top:40.1pt;width:3.35pt;height:.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" fillcolor="black" stroked="f">
                <w10:wrap anchorx="page"/>
              </v:rect>
            </w:pict>
          </mc:Fallback>
        </mc:AlternateContent>
      </w:r>
      <w:r w:rsidRPr="00F23BCA">
        <w:rPr>
          <w:rFonts w:asciiTheme="minorEastAsia" w:eastAsiaTheme="minorEastAsia" w:hAnsiTheme="minorEastAsia" w:hint="eastAsia"/>
          <w:sz w:val="20"/>
          <w:szCs w:val="20"/>
          <w:lang w:eastAsia="ko-KR"/>
        </w:rPr>
        <w:t xml:space="preserve">American Cancer Society, “Melanoma Skin Cancer” (available at </w:t>
      </w:r>
      <w:hyperlink r:id="rId32">
        <w:r w:rsidRPr="00F23BCA">
          <w:rPr>
            <w:rFonts w:asciiTheme="minorEastAsia" w:eastAsiaTheme="minorEastAsia" w:hAnsiTheme="minorEastAsia" w:hint="eastAsia"/>
            <w:color w:val="0563C1"/>
            <w:sz w:val="20"/>
            <w:szCs w:val="20"/>
            <w:u w:val="single" w:color="0563C1"/>
            <w:lang w:eastAsia="ko-KR"/>
          </w:rPr>
          <w:t>https://www.cancer.org/cancer/melanoma-skin-</w:t>
        </w:r>
      </w:hyperlink>
      <w:r w:rsidRPr="00F23BCA">
        <w:rPr>
          <w:rFonts w:asciiTheme="minorEastAsia" w:eastAsiaTheme="minorEastAsia" w:hAnsiTheme="minorEastAsia" w:hint="eastAsia"/>
          <w:color w:val="0563C1"/>
          <w:sz w:val="20"/>
          <w:szCs w:val="20"/>
          <w:lang w:eastAsia="ko-KR"/>
        </w:rPr>
        <w:t xml:space="preserve"> </w:t>
      </w:r>
      <w:hyperlink r:id="rId33">
        <w:r w:rsidRPr="00F23BCA">
          <w:rPr>
            <w:rFonts w:asciiTheme="minorEastAsia" w:eastAsiaTheme="minorEastAsia" w:hAnsiTheme="minorEastAsia" w:hint="eastAsia"/>
            <w:color w:val="0563C1"/>
            <w:sz w:val="20"/>
            <w:szCs w:val="20"/>
            <w:u w:val="single" w:color="0563C1"/>
            <w:lang w:eastAsia="ko-KR"/>
          </w:rPr>
          <w:t>cancer.html?gclid=CMCkj93Uqs4CFYtahgodxIwIYA&amp;mkwid=s_dc</w:t>
        </w:r>
      </w:hyperlink>
      <w:r w:rsidRPr="00F23BCA">
        <w:rPr>
          <w:rFonts w:asciiTheme="minorEastAsia" w:eastAsiaTheme="minorEastAsia" w:hAnsiTheme="minorEastAsia" w:hint="eastAsia"/>
          <w:sz w:val="20"/>
          <w:szCs w:val="20"/>
          <w:lang w:eastAsia="ko-KR"/>
        </w:rPr>
        <w:t xml:space="preserve">; </w:t>
      </w:r>
      <w:hyperlink r:id="rId34">
        <w:r w:rsidRPr="00F23BCA">
          <w:rPr>
            <w:rFonts w:asciiTheme="minorEastAsia" w:eastAsiaTheme="minorEastAsia" w:hAnsiTheme="minorEastAsia" w:hint="eastAsia"/>
            <w:color w:val="0563C1"/>
            <w:sz w:val="20"/>
            <w:szCs w:val="20"/>
            <w:u w:val="single" w:color="0563C1"/>
            <w:lang w:eastAsia="ko-KR"/>
          </w:rPr>
          <w:t>https://www.cancer.org/cancer/melanoma-skin-cancer.html</w:t>
        </w:r>
      </w:hyperlink>
      <w:r w:rsidRPr="00F23BCA">
        <w:rPr>
          <w:rFonts w:asciiTheme="minorEastAsia" w:eastAsiaTheme="minorEastAsia" w:hAnsiTheme="minorEastAsia" w:hint="eastAsia"/>
          <w:sz w:val="20"/>
          <w:szCs w:val="20"/>
          <w:lang w:eastAsia="ko-KR"/>
        </w:rPr>
        <w:t>), accessed May 25, 2021.</w:t>
      </w:r>
      <w:bookmarkEnd w:id="19"/>
    </w:p>
    <w:p w14:paraId="38A8F8D7" w14:textId="77777777" w:rsidR="00F23BCA" w:rsidRPr="00F23BCA" w:rsidRDefault="00F23BCA" w:rsidP="00F23BCA">
      <w:pPr>
        <w:pStyle w:val="a9"/>
        <w:jc w:val="both"/>
        <w:rPr>
          <w:rFonts w:asciiTheme="minorEastAsia" w:eastAsiaTheme="minorEastAsia" w:hAnsiTheme="minorEastAsia"/>
          <w:sz w:val="20"/>
          <w:szCs w:val="20"/>
          <w:lang w:eastAsia="ko-KR"/>
        </w:rPr>
      </w:pPr>
      <w:bookmarkStart w:id="20" w:name="_Hlk190444712"/>
    </w:p>
    <w:p w14:paraId="455F272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American Academy of Pediatrics, “Tips for Using Repellents Safely” (available at </w:t>
      </w:r>
      <w:hyperlink r:id="rId35">
        <w:r w:rsidRPr="00F23BCA">
          <w:rPr>
            <w:rFonts w:asciiTheme="minorEastAsia" w:eastAsiaTheme="minorEastAsia" w:hAnsiTheme="minorEastAsia" w:hint="eastAsia"/>
            <w:color w:val="0563C1"/>
            <w:sz w:val="20"/>
            <w:szCs w:val="20"/>
            <w:u w:val="single" w:color="0563C1"/>
            <w:lang w:eastAsia="ko-KR"/>
          </w:rPr>
          <w:t>www.healthychildren.org/English/safety-prevention/at-play/Pages/Insect-Repellents.aspx?rf</w:t>
        </w:r>
      </w:hyperlink>
      <w:r w:rsidRPr="00F23BCA">
        <w:rPr>
          <w:rFonts w:asciiTheme="minorEastAsia" w:eastAsiaTheme="minorEastAsia" w:hAnsiTheme="minorEastAsia" w:hint="eastAsia"/>
          <w:sz w:val="20"/>
          <w:szCs w:val="20"/>
          <w:lang w:eastAsia="ko-KR"/>
        </w:rPr>
        <w:t>), accessed May 25, 2021.</w:t>
      </w:r>
    </w:p>
    <w:p w14:paraId="6E6E9F5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4E4D7EE"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Ang, P., S.K. Ng, and C.L. Goh, “Sunscreen Allergy in Singapore,” </w:t>
      </w:r>
      <w:r w:rsidRPr="00F23BCA">
        <w:rPr>
          <w:rFonts w:asciiTheme="minorEastAsia" w:eastAsiaTheme="minorEastAsia" w:hAnsiTheme="minorEastAsia" w:hint="eastAsia"/>
          <w:i/>
          <w:sz w:val="20"/>
          <w:szCs w:val="20"/>
          <w:lang w:eastAsia="ko-KR"/>
        </w:rPr>
        <w:t>American Journal of Contact Dermatitis</w:t>
      </w:r>
      <w:r w:rsidRPr="00F23BCA">
        <w:rPr>
          <w:rFonts w:asciiTheme="minorEastAsia" w:eastAsiaTheme="minorEastAsia" w:hAnsiTheme="minorEastAsia" w:hint="eastAsia"/>
          <w:sz w:val="20"/>
          <w:szCs w:val="20"/>
          <w:lang w:eastAsia="ko-KR"/>
        </w:rPr>
        <w:t>, vol. 9(1), pp. 42-44, 1998.</w:t>
      </w:r>
    </w:p>
    <w:p w14:paraId="7A3C85D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EE6CA9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Autier, P., M. Boniol, and J.F. Dore, “Sunscreen Use and Increased Duration of Intentional Sun Exposure: Still a Burning Issue,” </w:t>
      </w:r>
      <w:r w:rsidRPr="00F23BCA">
        <w:rPr>
          <w:rFonts w:asciiTheme="minorEastAsia" w:eastAsiaTheme="minorEastAsia" w:hAnsiTheme="minorEastAsia" w:hint="eastAsia"/>
          <w:i/>
          <w:sz w:val="20"/>
          <w:szCs w:val="20"/>
          <w:lang w:eastAsia="ko-KR"/>
        </w:rPr>
        <w:t xml:space="preserve">International Journal of Cancer, </w:t>
      </w:r>
      <w:r w:rsidRPr="00F23BCA">
        <w:rPr>
          <w:rFonts w:asciiTheme="minorEastAsia" w:eastAsiaTheme="minorEastAsia" w:hAnsiTheme="minorEastAsia" w:hint="eastAsia"/>
          <w:sz w:val="20"/>
          <w:szCs w:val="20"/>
          <w:lang w:eastAsia="ko-KR"/>
        </w:rPr>
        <w:t>vol. 121(1), pp. 1-5, 2007.</w:t>
      </w:r>
    </w:p>
    <w:p w14:paraId="76F7D6A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CF2BAFB" w14:textId="77777777" w:rsidR="00F23BCA" w:rsidRPr="00F23BCA" w:rsidRDefault="00F23BCA" w:rsidP="00F23BCA">
      <w:pPr>
        <w:pStyle w:val="a9"/>
        <w:jc w:val="both"/>
        <w:rPr>
          <w:rFonts w:asciiTheme="minorEastAsia" w:eastAsiaTheme="minorEastAsia" w:hAnsiTheme="minorEastAsia"/>
          <w:sz w:val="20"/>
          <w:szCs w:val="20"/>
          <w:lang w:val="fr-FR" w:eastAsia="ko-KR"/>
        </w:rPr>
      </w:pPr>
      <w:r w:rsidRPr="00F23BCA">
        <w:rPr>
          <w:rFonts w:asciiTheme="minorEastAsia" w:eastAsiaTheme="minorEastAsia" w:hAnsiTheme="minorEastAsia" w:hint="eastAsia"/>
          <w:sz w:val="20"/>
          <w:szCs w:val="20"/>
          <w:lang w:val="fr-FR" w:eastAsia="ko-KR"/>
        </w:rPr>
        <w:t xml:space="preserve">Balogh, T.S., M.V. Velasco, C.A. Pedriali, et al., “Ultraviolet Radiation Protection: Current Available Resources in Photoprotection,” </w:t>
      </w:r>
      <w:r w:rsidRPr="00F23BCA">
        <w:rPr>
          <w:rFonts w:asciiTheme="minorEastAsia" w:eastAsiaTheme="minorEastAsia" w:hAnsiTheme="minorEastAsia" w:hint="eastAsia"/>
          <w:i/>
          <w:sz w:val="20"/>
          <w:szCs w:val="20"/>
          <w:lang w:val="fr-FR" w:eastAsia="ko-KR"/>
        </w:rPr>
        <w:t>Anais Brasileiros de Dermatologia</w:t>
      </w:r>
      <w:r w:rsidRPr="00F23BCA">
        <w:rPr>
          <w:rFonts w:asciiTheme="minorEastAsia" w:eastAsiaTheme="minorEastAsia" w:hAnsiTheme="minorEastAsia" w:hint="eastAsia"/>
          <w:sz w:val="20"/>
          <w:szCs w:val="20"/>
          <w:lang w:val="fr-FR" w:eastAsia="ko-KR"/>
        </w:rPr>
        <w:t>, vol. 86(4), pp. 732-742, 2011.</w:t>
      </w:r>
    </w:p>
    <w:p w14:paraId="26FC01D5" w14:textId="77777777" w:rsidR="00F23BCA" w:rsidRPr="00F23BCA" w:rsidRDefault="00F23BCA" w:rsidP="00F23BCA">
      <w:pPr>
        <w:pStyle w:val="a9"/>
        <w:jc w:val="both"/>
        <w:rPr>
          <w:rFonts w:asciiTheme="minorEastAsia" w:eastAsiaTheme="minorEastAsia" w:hAnsiTheme="minorEastAsia"/>
          <w:sz w:val="20"/>
          <w:szCs w:val="20"/>
          <w:lang w:val="fr-FR" w:eastAsia="ko-KR"/>
        </w:rPr>
      </w:pPr>
    </w:p>
    <w:p w14:paraId="2CDF094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Bashaw, E.D, D.C. Tran, C.G. Shukla, et al., “Maximal Usage Trial: An Overview of the Design of Systemic Bioavailability Trial for Topical Dermatological Products,” </w:t>
      </w:r>
      <w:r w:rsidRPr="00F23BCA">
        <w:rPr>
          <w:rFonts w:asciiTheme="minorEastAsia" w:eastAsiaTheme="minorEastAsia" w:hAnsiTheme="minorEastAsia" w:hint="eastAsia"/>
          <w:i/>
          <w:sz w:val="20"/>
          <w:szCs w:val="20"/>
          <w:lang w:eastAsia="ko-KR"/>
        </w:rPr>
        <w:t>Therapeutic Innovation and Regulatory Science</w:t>
      </w:r>
      <w:r w:rsidRPr="00F23BCA">
        <w:rPr>
          <w:rFonts w:asciiTheme="minorEastAsia" w:eastAsiaTheme="minorEastAsia" w:hAnsiTheme="minorEastAsia" w:hint="eastAsia"/>
          <w:sz w:val="20"/>
          <w:szCs w:val="20"/>
          <w:lang w:eastAsia="ko-KR"/>
        </w:rPr>
        <w:t>, vol. 49(1), pp. 108-115, 2015.</w:t>
      </w:r>
    </w:p>
    <w:p w14:paraId="03735B1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B7A054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Bassani, A.S., D. Banov, and H. Phan, “Characterization of the Percutaneous Absorption of Ketoprofen Using the Franz Skin Finite Dose Model,” </w:t>
      </w:r>
      <w:r w:rsidRPr="00F23BCA">
        <w:rPr>
          <w:rFonts w:asciiTheme="minorEastAsia" w:eastAsiaTheme="minorEastAsia" w:hAnsiTheme="minorEastAsia" w:hint="eastAsia"/>
          <w:i/>
          <w:sz w:val="20"/>
          <w:szCs w:val="20"/>
          <w:lang w:eastAsia="ko-KR"/>
        </w:rPr>
        <w:t>Postgraduate Medical Journal</w:t>
      </w:r>
      <w:r w:rsidRPr="00F23BCA">
        <w:rPr>
          <w:rFonts w:asciiTheme="minorEastAsia" w:eastAsiaTheme="minorEastAsia" w:hAnsiTheme="minorEastAsia" w:hint="eastAsia"/>
          <w:sz w:val="20"/>
          <w:szCs w:val="20"/>
          <w:lang w:eastAsia="ko-KR"/>
        </w:rPr>
        <w:t>, vol. 128(2), pp. 262-267, 2017.</w:t>
      </w:r>
    </w:p>
    <w:p w14:paraId="1328532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D0BA09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Beasley, D.G. and T.A. Meyer, “Characterization of the UVA Protection Provided by Avobenzone, Zinc Oxide, and Titanium Dioxide in Broad-Spectrum Sunscreen Products,” </w:t>
      </w:r>
      <w:r w:rsidRPr="00F23BCA">
        <w:rPr>
          <w:rFonts w:asciiTheme="minorEastAsia" w:eastAsiaTheme="minorEastAsia" w:hAnsiTheme="minorEastAsia" w:hint="eastAsia"/>
          <w:i/>
          <w:sz w:val="20"/>
          <w:szCs w:val="20"/>
          <w:lang w:eastAsia="ko-KR"/>
        </w:rPr>
        <w:t xml:space="preserve">American Journal of Clinical Dermatology, </w:t>
      </w:r>
      <w:r w:rsidRPr="00F23BCA">
        <w:rPr>
          <w:rFonts w:asciiTheme="minorEastAsia" w:eastAsiaTheme="minorEastAsia" w:hAnsiTheme="minorEastAsia" w:hint="eastAsia"/>
          <w:sz w:val="20"/>
          <w:szCs w:val="20"/>
          <w:lang w:eastAsia="ko-KR"/>
        </w:rPr>
        <w:t>vol. 11(6), pp. 413-421, 2010.</w:t>
      </w:r>
    </w:p>
    <w:p w14:paraId="121D9AE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4CB562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Beeckman, D., L. Schoonhoven, S. Verhaeghe, et al., “Prevention and Treatment of Incontinence-Associated Dermatitis: Literature Review,” </w:t>
      </w:r>
      <w:r w:rsidRPr="00F23BCA">
        <w:rPr>
          <w:rFonts w:asciiTheme="minorEastAsia" w:eastAsiaTheme="minorEastAsia" w:hAnsiTheme="minorEastAsia" w:hint="eastAsia"/>
          <w:i/>
          <w:sz w:val="20"/>
          <w:szCs w:val="20"/>
          <w:lang w:eastAsia="ko-KR"/>
        </w:rPr>
        <w:t xml:space="preserve">Journal of Advanced Nursing, </w:t>
      </w:r>
      <w:r w:rsidRPr="00F23BCA">
        <w:rPr>
          <w:rFonts w:asciiTheme="minorEastAsia" w:eastAsiaTheme="minorEastAsia" w:hAnsiTheme="minorEastAsia" w:hint="eastAsia"/>
          <w:sz w:val="20"/>
          <w:szCs w:val="20"/>
          <w:lang w:eastAsia="ko-KR"/>
        </w:rPr>
        <w:t>vol. 65(6), pp. 1141-1154, 2009.</w:t>
      </w:r>
    </w:p>
    <w:p w14:paraId="57B5A4C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E80765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Benson, H.A., V. Sarveiya, S. Risk, et al., “Influence of Anatomical Site and Topical Formulation on Skin Penetration of Sunscreens,” </w:t>
      </w:r>
      <w:r w:rsidRPr="00F23BCA">
        <w:rPr>
          <w:rFonts w:asciiTheme="minorEastAsia" w:eastAsiaTheme="minorEastAsia" w:hAnsiTheme="minorEastAsia" w:hint="eastAsia"/>
          <w:i/>
          <w:sz w:val="20"/>
          <w:szCs w:val="20"/>
          <w:lang w:eastAsia="ko-KR"/>
        </w:rPr>
        <w:t>Therapeutics and Clinical Risk Management</w:t>
      </w:r>
      <w:r w:rsidRPr="00F23BCA">
        <w:rPr>
          <w:rFonts w:asciiTheme="minorEastAsia" w:eastAsiaTheme="minorEastAsia" w:hAnsiTheme="minorEastAsia" w:hint="eastAsia"/>
          <w:sz w:val="20"/>
          <w:szCs w:val="20"/>
          <w:lang w:eastAsia="ko-KR"/>
        </w:rPr>
        <w:t>, vol. 1(3), pp. 209-218, 2005.</w:t>
      </w:r>
    </w:p>
    <w:p w14:paraId="5148929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82D751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Borum, M., E. Nsien, and H. Zimmerman, “Hepatotoxicity from Paraaminobenzoic Acid,”</w:t>
      </w:r>
    </w:p>
    <w:p w14:paraId="32F0D376"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Digestive Diseases and Sciences</w:t>
      </w:r>
      <w:r w:rsidRPr="00F23BCA">
        <w:rPr>
          <w:rFonts w:asciiTheme="minorEastAsia" w:eastAsiaTheme="minorEastAsia" w:hAnsiTheme="minorEastAsia" w:hint="eastAsia"/>
          <w:sz w:val="20"/>
          <w:szCs w:val="20"/>
          <w:lang w:eastAsia="ko-KR"/>
        </w:rPr>
        <w:t>, vol. 36(12), pp. 1793, 1991.</w:t>
      </w:r>
    </w:p>
    <w:p w14:paraId="5BED17E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1B9ED8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Brash, D.E., “UV-Induced Melanin Chemiexcitation: A New Mode of Melanoma Pathogenesis,”</w:t>
      </w:r>
    </w:p>
    <w:p w14:paraId="44DB19C2"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Toxicologic Pathology</w:t>
      </w:r>
      <w:r w:rsidRPr="00F23BCA">
        <w:rPr>
          <w:rFonts w:asciiTheme="minorEastAsia" w:eastAsiaTheme="minorEastAsia" w:hAnsiTheme="minorEastAsia" w:hint="eastAsia"/>
          <w:sz w:val="20"/>
          <w:szCs w:val="20"/>
          <w:lang w:eastAsia="ko-KR"/>
        </w:rPr>
        <w:t>, vol. 44(4), pp. 552-554, 2016.</w:t>
      </w:r>
    </w:p>
    <w:p w14:paraId="2477F1A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87E8D2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Brinon, L., S. Geiger, V. Alard, et al., “Percutaneous Absorption of Sunscreens from Liquid Crystalline Phases,” </w:t>
      </w:r>
      <w:r w:rsidRPr="00F23BCA">
        <w:rPr>
          <w:rFonts w:asciiTheme="minorEastAsia" w:eastAsiaTheme="minorEastAsia" w:hAnsiTheme="minorEastAsia" w:hint="eastAsia"/>
          <w:i/>
          <w:sz w:val="20"/>
          <w:szCs w:val="20"/>
          <w:lang w:eastAsia="ko-KR"/>
        </w:rPr>
        <w:t>Journal of Controlled Release</w:t>
      </w:r>
      <w:r w:rsidRPr="00F23BCA">
        <w:rPr>
          <w:rFonts w:asciiTheme="minorEastAsia" w:eastAsiaTheme="minorEastAsia" w:hAnsiTheme="minorEastAsia" w:hint="eastAsia"/>
          <w:sz w:val="20"/>
          <w:szCs w:val="20"/>
          <w:lang w:eastAsia="ko-KR"/>
        </w:rPr>
        <w:t>, vol. 60(1), pp. 67-76, 1999.</w:t>
      </w:r>
    </w:p>
    <w:p w14:paraId="19F8EF5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E020FC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Brown, S. and B.L. Diffey, “The Effect of Applied Thickness on Sunscreen Protection: In Vitro and In Vivo Studies,” </w:t>
      </w:r>
      <w:r w:rsidRPr="00F23BCA">
        <w:rPr>
          <w:rFonts w:asciiTheme="minorEastAsia" w:eastAsiaTheme="minorEastAsia" w:hAnsiTheme="minorEastAsia" w:hint="eastAsia"/>
          <w:i/>
          <w:sz w:val="20"/>
          <w:szCs w:val="20"/>
          <w:lang w:eastAsia="ko-KR"/>
        </w:rPr>
        <w:t>Photochemistry and Photobiology</w:t>
      </w:r>
      <w:r w:rsidRPr="00F23BCA">
        <w:rPr>
          <w:rFonts w:asciiTheme="minorEastAsia" w:eastAsiaTheme="minorEastAsia" w:hAnsiTheme="minorEastAsia" w:hint="eastAsia"/>
          <w:sz w:val="20"/>
          <w:szCs w:val="20"/>
          <w:lang w:eastAsia="ko-KR"/>
        </w:rPr>
        <w:t>, vol. 44(4), pp. 509-13, 1986.</w:t>
      </w:r>
      <w:bookmarkEnd w:id="20"/>
    </w:p>
    <w:p w14:paraId="302524B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BFE09B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BC6D89D" w14:textId="77777777" w:rsidR="00F23BCA" w:rsidRPr="00F23BCA" w:rsidRDefault="00F23BCA" w:rsidP="00F23BCA">
      <w:pPr>
        <w:pStyle w:val="a9"/>
        <w:jc w:val="both"/>
        <w:rPr>
          <w:rFonts w:asciiTheme="minorEastAsia" w:eastAsiaTheme="minorEastAsia" w:hAnsiTheme="minorEastAsia"/>
          <w:sz w:val="20"/>
          <w:szCs w:val="20"/>
          <w:lang w:eastAsia="ko-KR"/>
        </w:rPr>
      </w:pPr>
      <w:bookmarkStart w:id="21" w:name="_Hlk190444720"/>
      <w:r w:rsidRPr="00F23BCA">
        <w:rPr>
          <w:rFonts w:asciiTheme="minorEastAsia" w:eastAsiaTheme="minorEastAsia" w:hAnsiTheme="minorEastAsia" w:hint="eastAsia"/>
          <w:sz w:val="20"/>
          <w:szCs w:val="20"/>
          <w:lang w:eastAsia="ko-KR"/>
        </w:rPr>
        <w:t xml:space="preserve">Brown, J.S., T. Gordon, O. Price, et al., “Thoracic and Respirable Particle Definitions for Human Health Risk Assessment,” </w:t>
      </w:r>
      <w:r w:rsidRPr="00F23BCA">
        <w:rPr>
          <w:rFonts w:asciiTheme="minorEastAsia" w:eastAsiaTheme="minorEastAsia" w:hAnsiTheme="minorEastAsia" w:hint="eastAsia"/>
          <w:i/>
          <w:sz w:val="20"/>
          <w:szCs w:val="20"/>
          <w:lang w:eastAsia="ko-KR"/>
        </w:rPr>
        <w:t>Particle and Fibre Toxicology</w:t>
      </w:r>
      <w:r w:rsidRPr="00F23BCA">
        <w:rPr>
          <w:rFonts w:asciiTheme="minorEastAsia" w:eastAsiaTheme="minorEastAsia" w:hAnsiTheme="minorEastAsia" w:hint="eastAsia"/>
          <w:sz w:val="20"/>
          <w:szCs w:val="20"/>
          <w:lang w:eastAsia="ko-KR"/>
        </w:rPr>
        <w:t>, vol. 10, p. 12, 2013</w:t>
      </w:r>
    </w:p>
    <w:p w14:paraId="1670EEE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589F51B"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Bruynzeel, D.P., J. Ferguson, K. Andersen, et al., “Photopatch Testing: A Consensus Methodology for Europe,” </w:t>
      </w:r>
      <w:r w:rsidRPr="00F23BCA">
        <w:rPr>
          <w:rFonts w:asciiTheme="minorEastAsia" w:eastAsiaTheme="minorEastAsia" w:hAnsiTheme="minorEastAsia" w:hint="eastAsia"/>
          <w:i/>
          <w:sz w:val="20"/>
          <w:szCs w:val="20"/>
          <w:lang w:eastAsia="ko-KR"/>
        </w:rPr>
        <w:t>Journal of the European Academy of Dermatology and Venereology</w:t>
      </w:r>
      <w:r w:rsidRPr="00F23BCA">
        <w:rPr>
          <w:rFonts w:asciiTheme="minorEastAsia" w:eastAsiaTheme="minorEastAsia" w:hAnsiTheme="minorEastAsia" w:hint="eastAsia"/>
          <w:sz w:val="20"/>
          <w:szCs w:val="20"/>
          <w:lang w:eastAsia="ko-KR"/>
        </w:rPr>
        <w:t>, vol. 18(6), pp. 679-682, 2004.</w:t>
      </w:r>
    </w:p>
    <w:p w14:paraId="188CB07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85AFD7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Bryden, A.M., H. Moseley, S.H. Ibbotson, et al., “Photopatch Testing of 1155 Patients: Results of the U.K. Multicentre Photopatch Study Group,” </w:t>
      </w:r>
      <w:r w:rsidRPr="00F23BCA">
        <w:rPr>
          <w:rFonts w:asciiTheme="minorEastAsia" w:eastAsiaTheme="minorEastAsia" w:hAnsiTheme="minorEastAsia" w:hint="eastAsia"/>
          <w:i/>
          <w:sz w:val="20"/>
          <w:szCs w:val="20"/>
          <w:lang w:eastAsia="ko-KR"/>
        </w:rPr>
        <w:t xml:space="preserve">British Journal of Dermatology, </w:t>
      </w:r>
      <w:r w:rsidRPr="00F23BCA">
        <w:rPr>
          <w:rFonts w:asciiTheme="minorEastAsia" w:eastAsiaTheme="minorEastAsia" w:hAnsiTheme="minorEastAsia" w:hint="eastAsia"/>
          <w:sz w:val="20"/>
          <w:szCs w:val="20"/>
          <w:lang w:eastAsia="ko-KR"/>
        </w:rPr>
        <w:t>vol. 155(4),</w:t>
      </w:r>
    </w:p>
    <w:p w14:paraId="05BB244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pp. 737-747, 2006.</w:t>
      </w:r>
    </w:p>
    <w:p w14:paraId="776AEA3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BA9267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Burnett, M.E. and S.Q. Wang, “Current Sunscreen Controversies: A Critical Review,”</w:t>
      </w:r>
    </w:p>
    <w:p w14:paraId="03346F55"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Photodermatology, Photoimmunology and Photomedicine</w:t>
      </w:r>
      <w:r w:rsidRPr="00F23BCA">
        <w:rPr>
          <w:rFonts w:asciiTheme="minorEastAsia" w:eastAsiaTheme="minorEastAsia" w:hAnsiTheme="minorEastAsia" w:hint="eastAsia"/>
          <w:sz w:val="20"/>
          <w:szCs w:val="20"/>
          <w:lang w:eastAsia="ko-KR"/>
        </w:rPr>
        <w:t>, vol. 27(2), pp. 58-67, 2011.</w:t>
      </w:r>
    </w:p>
    <w:p w14:paraId="0D9FBEC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466F39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Calafat, A.M., L.Y. Wong, X. Ye, et al., “Concentrations of the Sunscreen Agent Benzophenone- 3 in Residents of the United States: National Health and Nutrition Examination Survey 2003- 2004,” </w:t>
      </w:r>
      <w:r w:rsidRPr="00F23BCA">
        <w:rPr>
          <w:rFonts w:asciiTheme="minorEastAsia" w:eastAsiaTheme="minorEastAsia" w:hAnsiTheme="minorEastAsia" w:hint="eastAsia"/>
          <w:i/>
          <w:sz w:val="20"/>
          <w:szCs w:val="20"/>
          <w:lang w:eastAsia="ko-KR"/>
        </w:rPr>
        <w:t>Environmental Health Perspectives</w:t>
      </w:r>
      <w:r w:rsidRPr="00F23BCA">
        <w:rPr>
          <w:rFonts w:asciiTheme="minorEastAsia" w:eastAsiaTheme="minorEastAsia" w:hAnsiTheme="minorEastAsia" w:hint="eastAsia"/>
          <w:sz w:val="20"/>
          <w:szCs w:val="20"/>
          <w:lang w:eastAsia="ko-KR"/>
        </w:rPr>
        <w:t>, vol. 116(7), pp. 893-897, 2008.</w:t>
      </w:r>
    </w:p>
    <w:p w14:paraId="3C9CF9F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D2F804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*CDC, Travelers’ Health, Chapter 2: The Pretravel Consultation. J. Mutebi, W.A. Hawley, and</w:t>
      </w:r>
    </w:p>
    <w:p w14:paraId="525A13E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W.G. Brogdon, “Protection against Mosquitoes, Ticks, and Other Arthropods” (available at </w:t>
      </w:r>
      <w:hyperlink r:id="rId36">
        <w:r w:rsidRPr="00F23BCA">
          <w:rPr>
            <w:rFonts w:asciiTheme="minorEastAsia" w:eastAsiaTheme="minorEastAsia" w:hAnsiTheme="minorEastAsia" w:hint="eastAsia"/>
            <w:color w:val="0563C1"/>
            <w:sz w:val="20"/>
            <w:szCs w:val="20"/>
            <w:u w:val="single" w:color="0563C1"/>
            <w:lang w:eastAsia="ko-KR"/>
          </w:rPr>
          <w:t>https://wwwnc.cdc.gov/travel/yellowbook/2018/the-pre-travel-consultation/protection-against-</w:t>
        </w:r>
      </w:hyperlink>
      <w:r w:rsidRPr="00F23BCA">
        <w:rPr>
          <w:rFonts w:asciiTheme="minorEastAsia" w:eastAsiaTheme="minorEastAsia" w:hAnsiTheme="minorEastAsia" w:hint="eastAsia"/>
          <w:color w:val="0563C1"/>
          <w:sz w:val="20"/>
          <w:szCs w:val="20"/>
          <w:lang w:eastAsia="ko-KR"/>
        </w:rPr>
        <w:t xml:space="preserve"> </w:t>
      </w:r>
      <w:hyperlink r:id="rId37">
        <w:r w:rsidRPr="00F23BCA">
          <w:rPr>
            <w:rFonts w:asciiTheme="minorEastAsia" w:eastAsiaTheme="minorEastAsia" w:hAnsiTheme="minorEastAsia" w:hint="eastAsia"/>
            <w:color w:val="0563C1"/>
            <w:sz w:val="20"/>
            <w:szCs w:val="20"/>
            <w:u w:val="single" w:color="0563C1"/>
            <w:lang w:eastAsia="ko-KR"/>
          </w:rPr>
          <w:t>mosquitoes-ticks-other-arthropods</w:t>
        </w:r>
      </w:hyperlink>
      <w:r w:rsidRPr="00F23BCA">
        <w:rPr>
          <w:rFonts w:asciiTheme="minorEastAsia" w:eastAsiaTheme="minorEastAsia" w:hAnsiTheme="minorEastAsia" w:hint="eastAsia"/>
          <w:sz w:val="20"/>
          <w:szCs w:val="20"/>
          <w:lang w:eastAsia="ko-KR"/>
        </w:rPr>
        <w:t>), accessed May 25, 2021.</w:t>
      </w:r>
    </w:p>
    <w:p w14:paraId="64BAE14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06168D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*Centers for Disease Control and Prevention (CDC), “Skin Cancer: Sun Safety” (available at </w:t>
      </w:r>
      <w:hyperlink r:id="rId38">
        <w:r w:rsidRPr="00F23BCA">
          <w:rPr>
            <w:rFonts w:asciiTheme="minorEastAsia" w:eastAsiaTheme="minorEastAsia" w:hAnsiTheme="minorEastAsia" w:hint="eastAsia"/>
            <w:color w:val="0563C1"/>
            <w:sz w:val="20"/>
            <w:szCs w:val="20"/>
            <w:u w:val="single" w:color="0563C1"/>
            <w:lang w:eastAsia="ko-KR"/>
          </w:rPr>
          <w:t>https://www.cdc.gov/cancer/skin/basic_info/sun-safety.htm</w:t>
        </w:r>
      </w:hyperlink>
      <w:r w:rsidRPr="00F23BCA">
        <w:rPr>
          <w:rFonts w:asciiTheme="minorEastAsia" w:eastAsiaTheme="minorEastAsia" w:hAnsiTheme="minorEastAsia" w:hint="eastAsia"/>
          <w:sz w:val="20"/>
          <w:szCs w:val="20"/>
          <w:lang w:eastAsia="ko-KR"/>
        </w:rPr>
        <w:t>), accessed May 25. 2021</w:t>
      </w:r>
    </w:p>
    <w:p w14:paraId="6400BAB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B0866B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Ceresole, R., Y.K. Han, M.A. Rosasco, et al., “Drug-Excipient Compatibility Studies in Binary Mixtures of Avobenzone,” </w:t>
      </w:r>
      <w:r w:rsidRPr="00F23BCA">
        <w:rPr>
          <w:rFonts w:asciiTheme="minorEastAsia" w:eastAsiaTheme="minorEastAsia" w:hAnsiTheme="minorEastAsia" w:hint="eastAsia"/>
          <w:i/>
          <w:sz w:val="20"/>
          <w:szCs w:val="20"/>
          <w:lang w:eastAsia="ko-KR"/>
        </w:rPr>
        <w:t xml:space="preserve">Journal of Cosmetic Science, </w:t>
      </w:r>
      <w:r w:rsidRPr="00F23BCA">
        <w:rPr>
          <w:rFonts w:asciiTheme="minorEastAsia" w:eastAsiaTheme="minorEastAsia" w:hAnsiTheme="minorEastAsia" w:hint="eastAsia"/>
          <w:sz w:val="20"/>
          <w:szCs w:val="20"/>
          <w:lang w:eastAsia="ko-KR"/>
        </w:rPr>
        <w:t>vol. 64(5), pp. 317-328, 2013.</w:t>
      </w:r>
    </w:p>
    <w:p w14:paraId="5C581DB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B79D784"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val="fr-FR" w:eastAsia="ko-KR"/>
        </w:rPr>
        <w:t xml:space="preserve">Chao, L.X., S.L. Sheu, B.Y. Kong, et al. </w:t>
      </w:r>
      <w:r w:rsidRPr="00F23BCA">
        <w:rPr>
          <w:rFonts w:asciiTheme="minorEastAsia" w:eastAsiaTheme="minorEastAsia" w:hAnsiTheme="minorEastAsia" w:hint="eastAsia"/>
          <w:sz w:val="20"/>
          <w:szCs w:val="20"/>
          <w:lang w:eastAsia="ko-KR"/>
        </w:rPr>
        <w:t xml:space="preserve">“Identifying Gaps in Consumer Knowledge About Sunscreen,”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 77(6), pp. 1172-1173. 2017.</w:t>
      </w:r>
    </w:p>
    <w:p w14:paraId="4C4DC67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EC358B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Coelho, S.G., Y. Zhou, H.F. Bushar, et al., “Long-Lasting Pigmentation of Human Skin, A New Look at an Overlooked Response to UV,” </w:t>
      </w:r>
      <w:r w:rsidRPr="00F23BCA">
        <w:rPr>
          <w:rFonts w:asciiTheme="minorEastAsia" w:eastAsiaTheme="minorEastAsia" w:hAnsiTheme="minorEastAsia" w:hint="eastAsia"/>
          <w:i/>
          <w:sz w:val="20"/>
          <w:szCs w:val="20"/>
          <w:lang w:eastAsia="ko-KR"/>
        </w:rPr>
        <w:t>Pigment Cell and Melanoma Research</w:t>
      </w:r>
      <w:r w:rsidRPr="00F23BCA">
        <w:rPr>
          <w:rFonts w:asciiTheme="minorEastAsia" w:eastAsiaTheme="minorEastAsia" w:hAnsiTheme="minorEastAsia" w:hint="eastAsia"/>
          <w:sz w:val="20"/>
          <w:szCs w:val="20"/>
          <w:lang w:eastAsia="ko-KR"/>
        </w:rPr>
        <w:t>, vol. 22(2), pp. 238-241, 2009.</w:t>
      </w:r>
    </w:p>
    <w:p w14:paraId="0730032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7F5EDB9"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Crosera, M., A. Prodi, M. Mauro, et al., “Titanium Dioxide Nanoparticle Penetration into the Skin and Effects on HaCaT Cells,” </w:t>
      </w:r>
      <w:r w:rsidRPr="00F23BCA">
        <w:rPr>
          <w:rFonts w:asciiTheme="minorEastAsia" w:eastAsiaTheme="minorEastAsia" w:hAnsiTheme="minorEastAsia" w:hint="eastAsia"/>
          <w:i/>
          <w:sz w:val="20"/>
          <w:szCs w:val="20"/>
          <w:lang w:eastAsia="ko-KR"/>
        </w:rPr>
        <w:t>International Journal of Environmental Research and Public Health</w:t>
      </w:r>
      <w:r w:rsidRPr="00F23BCA">
        <w:rPr>
          <w:rFonts w:asciiTheme="minorEastAsia" w:eastAsiaTheme="minorEastAsia" w:hAnsiTheme="minorEastAsia" w:hint="eastAsia"/>
          <w:sz w:val="20"/>
          <w:szCs w:val="20"/>
          <w:lang w:eastAsia="ko-KR"/>
        </w:rPr>
        <w:t>, vol. 12(8), pp. 9282-9297, 2015.</w:t>
      </w:r>
    </w:p>
    <w:p w14:paraId="10ADA40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07A87D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Damian, D.L., Y.J. Matthews, T.A. Phan, et al., “An Action Spectrum for Ultraviolet Radiation- Induced Immunosuppression in Humans,” </w:t>
      </w:r>
      <w:r w:rsidRPr="00F23BCA">
        <w:rPr>
          <w:rFonts w:asciiTheme="minorEastAsia" w:eastAsiaTheme="minorEastAsia" w:hAnsiTheme="minorEastAsia" w:hint="eastAsia"/>
          <w:i/>
          <w:sz w:val="20"/>
          <w:szCs w:val="20"/>
          <w:lang w:eastAsia="ko-KR"/>
        </w:rPr>
        <w:t xml:space="preserve">British Journal of Dermatology, </w:t>
      </w:r>
      <w:r w:rsidRPr="00F23BCA">
        <w:rPr>
          <w:rFonts w:asciiTheme="minorEastAsia" w:eastAsiaTheme="minorEastAsia" w:hAnsiTheme="minorEastAsia" w:hint="eastAsia"/>
          <w:sz w:val="20"/>
          <w:szCs w:val="20"/>
          <w:lang w:eastAsia="ko-KR"/>
        </w:rPr>
        <w:t>vol. 164(3), pp. 657- 659, 2011.</w:t>
      </w:r>
      <w:bookmarkEnd w:id="21"/>
    </w:p>
    <w:p w14:paraId="27BB3BF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Darvin, M.E., K. Konig, M. Kellner-Hoefer, et al., “Safety Assessment by Multiphoton Fluorescence/Second Harmonic Generation/Hyper-Rayleigh Scattering Tomography of ZnO Nanoparticles Used in Cosmetic Products,” </w:t>
      </w:r>
      <w:r w:rsidRPr="00F23BCA">
        <w:rPr>
          <w:rFonts w:asciiTheme="minorEastAsia" w:eastAsiaTheme="minorEastAsia" w:hAnsiTheme="minorEastAsia" w:hint="eastAsia"/>
          <w:i/>
          <w:sz w:val="20"/>
          <w:szCs w:val="20"/>
          <w:lang w:eastAsia="ko-KR"/>
        </w:rPr>
        <w:t xml:space="preserve">Skin Pharmacology and Physiology, </w:t>
      </w:r>
      <w:r w:rsidRPr="00F23BCA">
        <w:rPr>
          <w:rFonts w:asciiTheme="minorEastAsia" w:eastAsiaTheme="minorEastAsia" w:hAnsiTheme="minorEastAsia" w:hint="eastAsia"/>
          <w:sz w:val="20"/>
          <w:szCs w:val="20"/>
          <w:lang w:eastAsia="ko-KR"/>
        </w:rPr>
        <w:t>vol. 25(4), pp. 219-226, 2012.</w:t>
      </w:r>
    </w:p>
    <w:p w14:paraId="54F9724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0A253C2"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Diffey, B., “The FDA Final Rule on Labeling and Effectiveness Testing of Sunscreens: Too Little, Too Late?”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 66(1), pp. 162-163, 2012.</w:t>
      </w:r>
    </w:p>
    <w:p w14:paraId="6E73E8E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FBAE54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Diffey, B., “Spectral Uniformity: A New Index of Broad Spectrum (UVA) Protection,”</w:t>
      </w:r>
    </w:p>
    <w:p w14:paraId="6FFB71E4"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International Journal of Cosmetic Science</w:t>
      </w:r>
      <w:r w:rsidRPr="00F23BCA">
        <w:rPr>
          <w:rFonts w:asciiTheme="minorEastAsia" w:eastAsiaTheme="minorEastAsia" w:hAnsiTheme="minorEastAsia" w:hint="eastAsia"/>
          <w:sz w:val="20"/>
          <w:szCs w:val="20"/>
          <w:lang w:eastAsia="ko-KR"/>
        </w:rPr>
        <w:t>, vol. 31(1), pp. 63-68, 2009.</w:t>
      </w:r>
    </w:p>
    <w:p w14:paraId="1C4D3D9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A40131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Diffey, B.L., “Sunscreens and UVA Protection: A Major Issue of Minor Importance,”</w:t>
      </w:r>
    </w:p>
    <w:p w14:paraId="6728EEEF"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Photochemistry and Photobiology</w:t>
      </w:r>
      <w:r w:rsidRPr="00F23BCA">
        <w:rPr>
          <w:rFonts w:asciiTheme="minorEastAsia" w:eastAsiaTheme="minorEastAsia" w:hAnsiTheme="minorEastAsia" w:hint="eastAsia"/>
          <w:sz w:val="20"/>
          <w:szCs w:val="20"/>
          <w:lang w:eastAsia="ko-KR"/>
        </w:rPr>
        <w:t>, vol. 74(1), pp. 61-63, 2001.</w:t>
      </w:r>
    </w:p>
    <w:p w14:paraId="28632CA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FB4D6BC"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DiGiovanna, J.J. and K.H. Kraemer, “Shining a Light on Xeroderma Pigmentosum,” </w:t>
      </w:r>
      <w:r w:rsidRPr="00F23BCA">
        <w:rPr>
          <w:rFonts w:asciiTheme="minorEastAsia" w:eastAsiaTheme="minorEastAsia" w:hAnsiTheme="minorEastAsia" w:hint="eastAsia"/>
          <w:i/>
          <w:sz w:val="20"/>
          <w:szCs w:val="20"/>
          <w:lang w:eastAsia="ko-KR"/>
        </w:rPr>
        <w:t xml:space="preserve">Journal of Investigative Dermatology, </w:t>
      </w:r>
      <w:r w:rsidRPr="00F23BCA">
        <w:rPr>
          <w:rFonts w:asciiTheme="minorEastAsia" w:eastAsiaTheme="minorEastAsia" w:hAnsiTheme="minorEastAsia" w:hint="eastAsia"/>
          <w:sz w:val="20"/>
          <w:szCs w:val="20"/>
          <w:lang w:eastAsia="ko-KR"/>
        </w:rPr>
        <w:t>vol. 132(3), pp. 785-796, 2012.</w:t>
      </w:r>
    </w:p>
    <w:p w14:paraId="579EE2D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571CF71"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Dromgoole, S.H. and H.I. Maibach, “Sunscreening Agent Intolerance: Contact and Photocontact Sensitization and Contact Urticaria,”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w:t>
      </w:r>
    </w:p>
    <w:p w14:paraId="7A2FDA6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22(6 Pt 1), pp. 1068-1078, 1990.</w:t>
      </w:r>
    </w:p>
    <w:p w14:paraId="18DA455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8A1C1D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Environmental Working Group, “CDC: Americans Carry Body Burden of Toxic Sunscreen Chemical,” March 2008 (available at </w:t>
      </w:r>
      <w:hyperlink r:id="rId39" w:anchor=".WrpKP8a1tPZ">
        <w:r w:rsidRPr="00F23BCA">
          <w:rPr>
            <w:rFonts w:asciiTheme="minorEastAsia" w:eastAsiaTheme="minorEastAsia" w:hAnsiTheme="minorEastAsia" w:hint="eastAsia"/>
            <w:color w:val="0563C1"/>
            <w:sz w:val="20"/>
            <w:szCs w:val="20"/>
            <w:u w:val="single" w:color="0563C1"/>
            <w:lang w:eastAsia="ko-KR"/>
          </w:rPr>
          <w:t>https://www.ewg.org/research/cdc-americans-carry-body-</w:t>
        </w:r>
      </w:hyperlink>
      <w:r w:rsidRPr="00F23BCA">
        <w:rPr>
          <w:rFonts w:asciiTheme="minorEastAsia" w:eastAsiaTheme="minorEastAsia" w:hAnsiTheme="minorEastAsia" w:hint="eastAsia"/>
          <w:color w:val="0563C1"/>
          <w:sz w:val="20"/>
          <w:szCs w:val="20"/>
          <w:lang w:eastAsia="ko-KR"/>
        </w:rPr>
        <w:t xml:space="preserve"> </w:t>
      </w:r>
      <w:hyperlink r:id="rId40" w:anchor=".WrpKP8a1tPZ">
        <w:r w:rsidRPr="00F23BCA">
          <w:rPr>
            <w:rFonts w:asciiTheme="minorEastAsia" w:eastAsiaTheme="minorEastAsia" w:hAnsiTheme="minorEastAsia" w:hint="eastAsia"/>
            <w:color w:val="0563C1"/>
            <w:sz w:val="20"/>
            <w:szCs w:val="20"/>
            <w:u w:val="single" w:color="0563C1"/>
            <w:lang w:eastAsia="ko-KR"/>
          </w:rPr>
          <w:t>burden-toxic-sunscreen-chemical</w:t>
        </w:r>
        <w:proofErr w:type="gramStart"/>
        <w:r w:rsidRPr="00F23BCA">
          <w:rPr>
            <w:rFonts w:asciiTheme="minorEastAsia" w:eastAsiaTheme="minorEastAsia" w:hAnsiTheme="minorEastAsia" w:hint="eastAsia"/>
            <w:color w:val="0563C1"/>
            <w:sz w:val="20"/>
            <w:szCs w:val="20"/>
            <w:u w:val="single" w:color="0563C1"/>
            <w:lang w:eastAsia="ko-KR"/>
          </w:rPr>
          <w:t>#.WrpKP</w:t>
        </w:r>
        <w:proofErr w:type="gramEnd"/>
        <w:r w:rsidRPr="00F23BCA">
          <w:rPr>
            <w:rFonts w:asciiTheme="minorEastAsia" w:eastAsiaTheme="minorEastAsia" w:hAnsiTheme="minorEastAsia" w:hint="eastAsia"/>
            <w:color w:val="0563C1"/>
            <w:sz w:val="20"/>
            <w:szCs w:val="20"/>
            <w:u w:val="single" w:color="0563C1"/>
            <w:lang w:eastAsia="ko-KR"/>
          </w:rPr>
          <w:t>8a1tPZ</w:t>
        </w:r>
      </w:hyperlink>
      <w:r w:rsidRPr="00F23BCA">
        <w:rPr>
          <w:rFonts w:asciiTheme="minorEastAsia" w:eastAsiaTheme="minorEastAsia" w:hAnsiTheme="minorEastAsia" w:hint="eastAsia"/>
          <w:sz w:val="20"/>
          <w:szCs w:val="20"/>
          <w:lang w:eastAsia="ko-KR"/>
        </w:rPr>
        <w:t>), accessed May 25, 2021..</w:t>
      </w:r>
    </w:p>
    <w:p w14:paraId="40961C4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9C80BC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*EPA, “Active Ingredients Eligible for Minimum Risk Pesticide Products” (Updated December 2015) (available at </w:t>
      </w:r>
      <w:hyperlink r:id="rId41">
        <w:r w:rsidRPr="00F23BCA">
          <w:rPr>
            <w:rFonts w:asciiTheme="minorEastAsia" w:eastAsiaTheme="minorEastAsia" w:hAnsiTheme="minorEastAsia" w:hint="eastAsia"/>
            <w:color w:val="0563C1"/>
            <w:sz w:val="20"/>
            <w:szCs w:val="20"/>
            <w:u w:val="single" w:color="0563C1"/>
            <w:lang w:eastAsia="ko-KR"/>
          </w:rPr>
          <w:t>https://www.epa.gov/sites/production/files/2015-12/documents/minrisk-</w:t>
        </w:r>
      </w:hyperlink>
      <w:r w:rsidRPr="00F23BCA">
        <w:rPr>
          <w:rFonts w:asciiTheme="minorEastAsia" w:eastAsiaTheme="minorEastAsia" w:hAnsiTheme="minorEastAsia" w:hint="eastAsia"/>
          <w:color w:val="0563C1"/>
          <w:sz w:val="20"/>
          <w:szCs w:val="20"/>
          <w:lang w:eastAsia="ko-KR"/>
        </w:rPr>
        <w:t xml:space="preserve"> </w:t>
      </w:r>
      <w:hyperlink r:id="rId42">
        <w:r w:rsidRPr="00F23BCA">
          <w:rPr>
            <w:rFonts w:asciiTheme="minorEastAsia" w:eastAsiaTheme="minorEastAsia" w:hAnsiTheme="minorEastAsia" w:hint="eastAsia"/>
            <w:color w:val="0563C1"/>
            <w:sz w:val="20"/>
            <w:szCs w:val="20"/>
            <w:u w:val="single" w:color="0563C1"/>
            <w:lang w:eastAsia="ko-KR"/>
          </w:rPr>
          <w:t>active-ingredients-tolerances-2015-12-15.pdf</w:t>
        </w:r>
      </w:hyperlink>
      <w:r w:rsidRPr="00F23BCA">
        <w:rPr>
          <w:rFonts w:asciiTheme="minorEastAsia" w:eastAsiaTheme="minorEastAsia" w:hAnsiTheme="minorEastAsia" w:hint="eastAsia"/>
          <w:sz w:val="20"/>
          <w:szCs w:val="20"/>
          <w:lang w:eastAsia="ko-KR"/>
        </w:rPr>
        <w:t>), accessed May 25, 2021.</w:t>
      </w:r>
    </w:p>
    <w:p w14:paraId="6A79141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20533D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*EPA, Office of Pesticide Programs, Label Review Manual, “Chapter 3: General Labeling Requirements,” revised March 2018 (available at </w:t>
      </w:r>
      <w:hyperlink r:id="rId43">
        <w:r w:rsidRPr="00F23BCA">
          <w:rPr>
            <w:rFonts w:asciiTheme="minorEastAsia" w:eastAsiaTheme="minorEastAsia" w:hAnsiTheme="minorEastAsia" w:hint="eastAsia"/>
            <w:color w:val="0563C1"/>
            <w:sz w:val="20"/>
            <w:szCs w:val="20"/>
            <w:u w:val="single" w:color="0563C1"/>
            <w:lang w:eastAsia="ko-KR"/>
          </w:rPr>
          <w:t>https://www.epa.gov/sites/production/files/2017-10/documents/chap-03-dec-2014.pdf</w:t>
        </w:r>
      </w:hyperlink>
      <w:r w:rsidRPr="00F23BCA">
        <w:rPr>
          <w:rFonts w:asciiTheme="minorEastAsia" w:eastAsiaTheme="minorEastAsia" w:hAnsiTheme="minorEastAsia" w:hint="eastAsia"/>
          <w:sz w:val="20"/>
          <w:szCs w:val="20"/>
          <w:lang w:eastAsia="ko-KR"/>
        </w:rPr>
        <w:t>).), accessed May 25, 2021.</w:t>
      </w:r>
    </w:p>
    <w:p w14:paraId="5CA2856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1E40F5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EPA, “DEET” (available at </w:t>
      </w:r>
      <w:hyperlink r:id="rId44" w:anchor="children">
        <w:r w:rsidRPr="00F23BCA">
          <w:rPr>
            <w:rFonts w:asciiTheme="minorEastAsia" w:eastAsiaTheme="minorEastAsia" w:hAnsiTheme="minorEastAsia" w:hint="eastAsia"/>
            <w:color w:val="0563C1"/>
            <w:sz w:val="20"/>
            <w:szCs w:val="20"/>
            <w:u w:val="single" w:color="0563C1"/>
            <w:lang w:eastAsia="ko-KR"/>
          </w:rPr>
          <w:t>https://www.epa.gov/insect-repellents/deet#children</w:t>
        </w:r>
      </w:hyperlink>
      <w:r w:rsidRPr="00F23BCA">
        <w:rPr>
          <w:rFonts w:asciiTheme="minorEastAsia" w:eastAsiaTheme="minorEastAsia" w:hAnsiTheme="minorEastAsia" w:hint="eastAsia"/>
          <w:sz w:val="20"/>
          <w:szCs w:val="20"/>
          <w:lang w:eastAsia="ko-KR"/>
        </w:rPr>
        <w:t>), accessed May 25, 2021.</w:t>
      </w:r>
    </w:p>
    <w:p w14:paraId="052D576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77F836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*EPA, “Find the Repellent That is Right for You,” (Updated June 2019) (available at </w:t>
      </w:r>
      <w:hyperlink r:id="rId45">
        <w:r w:rsidRPr="00F23BCA">
          <w:rPr>
            <w:rFonts w:asciiTheme="minorEastAsia" w:eastAsiaTheme="minorEastAsia" w:hAnsiTheme="minorEastAsia" w:hint="eastAsia"/>
            <w:color w:val="0563C1"/>
            <w:sz w:val="20"/>
            <w:szCs w:val="20"/>
            <w:u w:val="single" w:color="0563C1"/>
            <w:lang w:eastAsia="ko-KR"/>
          </w:rPr>
          <w:t>https://www.epa.gov/insect-repellents/find-repellent-right-you</w:t>
        </w:r>
      </w:hyperlink>
      <w:r w:rsidRPr="00F23BCA">
        <w:rPr>
          <w:rFonts w:asciiTheme="minorEastAsia" w:eastAsiaTheme="minorEastAsia" w:hAnsiTheme="minorEastAsia" w:hint="eastAsia"/>
          <w:sz w:val="20"/>
          <w:szCs w:val="20"/>
          <w:lang w:eastAsia="ko-KR"/>
        </w:rPr>
        <w:t>), accessed May 25, 2021.</w:t>
      </w:r>
    </w:p>
    <w:p w14:paraId="31E0F6F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E6F0E7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 “Reregistration Eligibility Decision (R.E.D.) Facts, DEET,” April 1998 (available at </w:t>
      </w:r>
      <w:hyperlink r:id="rId46">
        <w:r w:rsidRPr="00F23BCA">
          <w:rPr>
            <w:rFonts w:asciiTheme="minorEastAsia" w:eastAsiaTheme="minorEastAsia" w:hAnsiTheme="minorEastAsia" w:hint="eastAsia"/>
            <w:color w:val="0563C1"/>
            <w:sz w:val="20"/>
            <w:szCs w:val="20"/>
            <w:u w:val="single" w:color="0563C1"/>
            <w:lang w:eastAsia="ko-KR"/>
          </w:rPr>
          <w:t>https://www3.epa.gov/pesticides/chem_search/reg_actions/reregistration/fs_PC-080301_1-Apr-</w:t>
        </w:r>
      </w:hyperlink>
      <w:r w:rsidRPr="00F23BCA">
        <w:rPr>
          <w:rFonts w:asciiTheme="minorEastAsia" w:eastAsiaTheme="minorEastAsia" w:hAnsiTheme="minorEastAsia" w:hint="eastAsia"/>
          <w:color w:val="0563C1"/>
          <w:sz w:val="20"/>
          <w:szCs w:val="20"/>
          <w:lang w:eastAsia="ko-KR"/>
        </w:rPr>
        <w:t xml:space="preserve"> </w:t>
      </w:r>
      <w:hyperlink r:id="rId47">
        <w:r w:rsidRPr="00F23BCA">
          <w:rPr>
            <w:rFonts w:asciiTheme="minorEastAsia" w:eastAsiaTheme="minorEastAsia" w:hAnsiTheme="minorEastAsia" w:hint="eastAsia"/>
            <w:color w:val="0563C1"/>
            <w:sz w:val="20"/>
            <w:szCs w:val="20"/>
            <w:u w:val="single" w:color="0563C1"/>
            <w:lang w:eastAsia="ko-KR"/>
          </w:rPr>
          <w:t>98.pdf</w:t>
        </w:r>
      </w:hyperlink>
      <w:r w:rsidRPr="00F23BCA">
        <w:rPr>
          <w:rFonts w:asciiTheme="minorEastAsia" w:eastAsiaTheme="minorEastAsia" w:hAnsiTheme="minorEastAsia" w:hint="eastAsia"/>
          <w:sz w:val="20"/>
          <w:szCs w:val="20"/>
          <w:lang w:eastAsia="ko-KR"/>
        </w:rPr>
        <w:t>), accessed June 7, 2021.</w:t>
      </w:r>
    </w:p>
    <w:p w14:paraId="258AAF9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*EPA, “Using Insect Repellents Safely and Effectively” (available at </w:t>
      </w:r>
      <w:hyperlink r:id="rId48">
        <w:r w:rsidRPr="00F23BCA">
          <w:rPr>
            <w:rFonts w:asciiTheme="minorEastAsia" w:eastAsiaTheme="minorEastAsia" w:hAnsiTheme="minorEastAsia" w:hint="eastAsia"/>
            <w:color w:val="0563C1"/>
            <w:sz w:val="20"/>
            <w:szCs w:val="20"/>
            <w:u w:val="single" w:color="0563C1"/>
            <w:lang w:eastAsia="ko-KR"/>
          </w:rPr>
          <w:t>https://www.epa.gov/insect-repellents/using-insect-repellents-safely-and-effectively</w:t>
        </w:r>
      </w:hyperlink>
      <w:r w:rsidRPr="00F23BCA">
        <w:rPr>
          <w:rFonts w:asciiTheme="minorEastAsia" w:eastAsiaTheme="minorEastAsia" w:hAnsiTheme="minorEastAsia" w:hint="eastAsia"/>
          <w:sz w:val="20"/>
          <w:szCs w:val="20"/>
          <w:lang w:eastAsia="ko-KR"/>
        </w:rPr>
        <w:t>), accessed May 25, 2021.</w:t>
      </w:r>
    </w:p>
    <w:p w14:paraId="547E1A5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4C4DB6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*European Commission, “Commission Recommendation of 22 September 2006 on the Efficacy of Sunscreen Products and the Claims Made Relating Thereto (2006/647/EC),” </w:t>
      </w:r>
      <w:r w:rsidRPr="00F23BCA">
        <w:rPr>
          <w:rFonts w:asciiTheme="minorEastAsia" w:eastAsiaTheme="minorEastAsia" w:hAnsiTheme="minorEastAsia" w:hint="eastAsia"/>
          <w:i/>
          <w:sz w:val="20"/>
          <w:szCs w:val="20"/>
          <w:lang w:eastAsia="ko-KR"/>
        </w:rPr>
        <w:t>Official Journal of the European Union</w:t>
      </w:r>
      <w:r w:rsidRPr="00F23BCA">
        <w:rPr>
          <w:rFonts w:asciiTheme="minorEastAsia" w:eastAsiaTheme="minorEastAsia" w:hAnsiTheme="minorEastAsia" w:hint="eastAsia"/>
          <w:sz w:val="20"/>
          <w:szCs w:val="20"/>
          <w:lang w:eastAsia="ko-KR"/>
        </w:rPr>
        <w:t xml:space="preserve">, vol. 265, pp. 39-43, 2006 (available at </w:t>
      </w:r>
      <w:hyperlink r:id="rId49">
        <w:r w:rsidRPr="00F23BCA">
          <w:rPr>
            <w:rFonts w:asciiTheme="minorEastAsia" w:eastAsiaTheme="minorEastAsia" w:hAnsiTheme="minorEastAsia" w:hint="eastAsia"/>
            <w:color w:val="0563C1"/>
            <w:sz w:val="20"/>
            <w:szCs w:val="20"/>
            <w:u w:val="single" w:color="0563C1"/>
            <w:lang w:eastAsia="ko-KR"/>
          </w:rPr>
          <w:t>http://eur-lex.europa.eu/legal-</w:t>
        </w:r>
      </w:hyperlink>
      <w:r w:rsidRPr="00F23BCA">
        <w:rPr>
          <w:rFonts w:asciiTheme="minorEastAsia" w:eastAsiaTheme="minorEastAsia" w:hAnsiTheme="minorEastAsia" w:hint="eastAsia"/>
          <w:color w:val="0563C1"/>
          <w:sz w:val="20"/>
          <w:szCs w:val="20"/>
          <w:lang w:eastAsia="ko-KR"/>
        </w:rPr>
        <w:t xml:space="preserve"> </w:t>
      </w:r>
      <w:hyperlink r:id="rId50">
        <w:r w:rsidRPr="00F23BCA">
          <w:rPr>
            <w:rFonts w:asciiTheme="minorEastAsia" w:eastAsiaTheme="minorEastAsia" w:hAnsiTheme="minorEastAsia" w:hint="eastAsia"/>
            <w:color w:val="0563C1"/>
            <w:sz w:val="20"/>
            <w:szCs w:val="20"/>
            <w:u w:val="single" w:color="0563C1"/>
            <w:lang w:eastAsia="ko-KR"/>
          </w:rPr>
          <w:t>content/EN/TXT/PDF/?uri=CELEX:32006H0647&amp;from=EN</w:t>
        </w:r>
      </w:hyperlink>
      <w:r w:rsidRPr="00F23BCA">
        <w:rPr>
          <w:rFonts w:asciiTheme="minorEastAsia" w:eastAsiaTheme="minorEastAsia" w:hAnsiTheme="minorEastAsia" w:hint="eastAsia"/>
          <w:sz w:val="20"/>
          <w:szCs w:val="20"/>
          <w:lang w:eastAsia="ko-KR"/>
        </w:rPr>
        <w:t>), accessed May 25, 2021.</w:t>
      </w:r>
    </w:p>
    <w:p w14:paraId="0F213AC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8D7FD7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*European Commission. Scientific Committee on Consumer Products (SCCP), “Opinion on Benzophenone-3,” 2008 (available at </w:t>
      </w:r>
      <w:hyperlink r:id="rId51">
        <w:r w:rsidRPr="00F23BCA">
          <w:rPr>
            <w:rFonts w:asciiTheme="minorEastAsia" w:eastAsiaTheme="minorEastAsia" w:hAnsiTheme="minorEastAsia" w:hint="eastAsia"/>
            <w:color w:val="0563C1"/>
            <w:sz w:val="20"/>
            <w:szCs w:val="20"/>
            <w:u w:val="single" w:color="0563C1"/>
            <w:lang w:eastAsia="ko-KR"/>
          </w:rPr>
          <w:t>https://ec.europa.eu/health/ph_risk/committees/04_sccp/docs/sccp_o_159.pdf</w:t>
        </w:r>
      </w:hyperlink>
      <w:r w:rsidRPr="00F23BCA">
        <w:rPr>
          <w:rFonts w:asciiTheme="minorEastAsia" w:eastAsiaTheme="minorEastAsia" w:hAnsiTheme="minorEastAsia" w:hint="eastAsia"/>
          <w:sz w:val="20"/>
          <w:szCs w:val="20"/>
          <w:lang w:eastAsia="ko-KR"/>
        </w:rPr>
        <w:t>), accessed May 25, 2021.</w:t>
      </w:r>
    </w:p>
    <w:p w14:paraId="61249C8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4957AA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*European Commission, SCCNFP, “Opinion on the Evaluation of Potentially Estrogenic Effects of UV-Filters Adopted by the SCCNFP During the 17th Plenary Meeting of 12 June 2001” (available at (</w:t>
      </w:r>
      <w:hyperlink r:id="rId52">
        <w:r w:rsidRPr="00F23BCA">
          <w:rPr>
            <w:rFonts w:asciiTheme="minorEastAsia" w:eastAsiaTheme="minorEastAsia" w:hAnsiTheme="minorEastAsia" w:hint="eastAsia"/>
            <w:color w:val="0563C1"/>
            <w:sz w:val="20"/>
            <w:szCs w:val="20"/>
            <w:u w:val="single" w:color="0563C1"/>
            <w:lang w:eastAsia="ko-KR"/>
          </w:rPr>
          <w:t>http://ec.europa.eu/health/scientific_committees/consumer_safety/opinions/sccnfp_opinions_97</w:t>
        </w:r>
      </w:hyperlink>
    </w:p>
    <w:p w14:paraId="059008F5" w14:textId="77777777" w:rsidR="00F23BCA" w:rsidRPr="00F23BCA" w:rsidRDefault="003D6BF5" w:rsidP="00F23BCA">
      <w:pPr>
        <w:pStyle w:val="a9"/>
        <w:jc w:val="both"/>
        <w:rPr>
          <w:rFonts w:asciiTheme="minorEastAsia" w:eastAsiaTheme="minorEastAsia" w:hAnsiTheme="minorEastAsia"/>
          <w:sz w:val="20"/>
          <w:szCs w:val="20"/>
          <w:lang w:eastAsia="ko-KR"/>
        </w:rPr>
      </w:pPr>
      <w:hyperlink r:id="rId53">
        <w:r w:rsidR="00F23BCA" w:rsidRPr="00F23BCA">
          <w:rPr>
            <w:rFonts w:asciiTheme="minorEastAsia" w:eastAsiaTheme="minorEastAsia" w:hAnsiTheme="minorEastAsia" w:hint="eastAsia"/>
            <w:color w:val="0563C1"/>
            <w:sz w:val="20"/>
            <w:szCs w:val="20"/>
            <w:u w:val="single" w:color="0563C1"/>
            <w:lang w:eastAsia="ko-KR"/>
          </w:rPr>
          <w:t>_04/sccp_out145_en.htm</w:t>
        </w:r>
      </w:hyperlink>
      <w:r w:rsidR="00F23BCA" w:rsidRPr="00F23BCA">
        <w:rPr>
          <w:rFonts w:asciiTheme="minorEastAsia" w:eastAsiaTheme="minorEastAsia" w:hAnsiTheme="minorEastAsia" w:hint="eastAsia"/>
          <w:sz w:val="20"/>
          <w:szCs w:val="20"/>
          <w:lang w:eastAsia="ko-KR"/>
        </w:rPr>
        <w:t>), accessed May 25, 2021.</w:t>
      </w:r>
    </w:p>
    <w:p w14:paraId="01B444C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BBF020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*European Commission, Scientific Committee on Consumer Safety (SCCS), “Opinion on Titanium Dioxide (nano form),” 2014c, revision (available at </w:t>
      </w:r>
      <w:hyperlink r:id="rId54">
        <w:r w:rsidRPr="00F23BCA">
          <w:rPr>
            <w:rFonts w:asciiTheme="minorEastAsia" w:eastAsiaTheme="minorEastAsia" w:hAnsiTheme="minorEastAsia" w:hint="eastAsia"/>
            <w:color w:val="0563C1"/>
            <w:sz w:val="20"/>
            <w:szCs w:val="20"/>
            <w:u w:val="single" w:color="0563C1"/>
            <w:lang w:eastAsia="ko-KR"/>
          </w:rPr>
          <w:t>http://ec.europa.eu/health/scientific_committees/consumer_safety/docs/sccs_o_136.pdf</w:t>
        </w:r>
      </w:hyperlink>
      <w:r w:rsidRPr="00F23BCA">
        <w:rPr>
          <w:rFonts w:asciiTheme="minorEastAsia" w:eastAsiaTheme="minorEastAsia" w:hAnsiTheme="minorEastAsia" w:hint="eastAsia"/>
          <w:sz w:val="20"/>
          <w:szCs w:val="20"/>
          <w:lang w:eastAsia="ko-KR"/>
        </w:rPr>
        <w:t>), accessed May 25, 2021.</w:t>
      </w:r>
    </w:p>
    <w:p w14:paraId="69BD6C7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2F6B1F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*European Commission, SCCS, “Opinion on Zinc Oxide (nano form),” 2012 (available at </w:t>
      </w:r>
      <w:hyperlink r:id="rId55">
        <w:r w:rsidRPr="00F23BCA">
          <w:rPr>
            <w:rFonts w:asciiTheme="minorEastAsia" w:eastAsiaTheme="minorEastAsia" w:hAnsiTheme="minorEastAsia" w:hint="eastAsia"/>
            <w:color w:val="0563C1"/>
            <w:sz w:val="20"/>
            <w:szCs w:val="20"/>
            <w:u w:val="single" w:color="0563C1"/>
            <w:lang w:eastAsia="ko-KR"/>
          </w:rPr>
          <w:t>http://ec.europa.eu/health/scientific_committees/consumer_safety/docs/sccs_o_103.pdf</w:t>
        </w:r>
      </w:hyperlink>
      <w:r w:rsidRPr="00F23BCA">
        <w:rPr>
          <w:rFonts w:asciiTheme="minorEastAsia" w:eastAsiaTheme="minorEastAsia" w:hAnsiTheme="minorEastAsia" w:hint="eastAsia"/>
          <w:sz w:val="20"/>
          <w:szCs w:val="20"/>
          <w:lang w:eastAsia="ko-KR"/>
        </w:rPr>
        <w:t>), accessed April 4, 2018.</w:t>
      </w:r>
    </w:p>
    <w:p w14:paraId="6D1685C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4163753"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European Multicentre Photopatch Test Study (EMCPPTS) Taskforce, “A European Multicentre Photopatch Test Study,” </w:t>
      </w:r>
      <w:r w:rsidRPr="00F23BCA">
        <w:rPr>
          <w:rFonts w:asciiTheme="minorEastAsia" w:eastAsiaTheme="minorEastAsia" w:hAnsiTheme="minorEastAsia" w:hint="eastAsia"/>
          <w:i/>
          <w:sz w:val="20"/>
          <w:szCs w:val="20"/>
          <w:lang w:eastAsia="ko-KR"/>
        </w:rPr>
        <w:t>The British Journal of Dermatology</w:t>
      </w:r>
      <w:r w:rsidRPr="00F23BCA">
        <w:rPr>
          <w:rFonts w:asciiTheme="minorEastAsia" w:eastAsiaTheme="minorEastAsia" w:hAnsiTheme="minorEastAsia" w:hint="eastAsia"/>
          <w:sz w:val="20"/>
          <w:szCs w:val="20"/>
          <w:lang w:eastAsia="ko-KR"/>
        </w:rPr>
        <w:t>, vol. 166(5), pp. 1002-1009, 2012.</w:t>
      </w:r>
    </w:p>
    <w:p w14:paraId="3355288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500471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Fairhurst, D. and M.A. Mitchnick, “Particulate Sun Blocks: General Principles,” N.J. Lowe,</w:t>
      </w:r>
    </w:p>
    <w:p w14:paraId="56B40FDA"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 Shaath, M.A. Pathak, editors, </w:t>
      </w:r>
      <w:r w:rsidRPr="00F23BCA">
        <w:rPr>
          <w:rFonts w:asciiTheme="minorEastAsia" w:eastAsiaTheme="minorEastAsia" w:hAnsiTheme="minorEastAsia" w:hint="eastAsia"/>
          <w:i/>
          <w:sz w:val="20"/>
          <w:szCs w:val="20"/>
          <w:lang w:eastAsia="ko-KR"/>
        </w:rPr>
        <w:t>Sunscreens: Development, Evaluation, and Regulatory Aspects</w:t>
      </w:r>
      <w:r w:rsidRPr="00F23BCA">
        <w:rPr>
          <w:rFonts w:asciiTheme="minorEastAsia" w:eastAsiaTheme="minorEastAsia" w:hAnsiTheme="minorEastAsia" w:hint="eastAsia"/>
          <w:sz w:val="20"/>
          <w:szCs w:val="20"/>
          <w:lang w:eastAsia="ko-KR"/>
        </w:rPr>
        <w:t>, 2nd ed., New York: M. Dekker, pp. 313-352, 1997.</w:t>
      </w:r>
    </w:p>
    <w:p w14:paraId="54D0F78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FB423D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Faurschou, A. and H.C. Wulf, “Synergistic Effect of Broad-Spectrum Sunscreens and Antihistamines in the Control of Idiopathic Solar Urticaria,” </w:t>
      </w:r>
      <w:r w:rsidRPr="00F23BCA">
        <w:rPr>
          <w:rFonts w:asciiTheme="minorEastAsia" w:eastAsiaTheme="minorEastAsia" w:hAnsiTheme="minorEastAsia" w:hint="eastAsia"/>
          <w:i/>
          <w:sz w:val="20"/>
          <w:szCs w:val="20"/>
          <w:lang w:eastAsia="ko-KR"/>
        </w:rPr>
        <w:t xml:space="preserve">Archives of Dermatology, </w:t>
      </w:r>
      <w:r w:rsidRPr="00F23BCA">
        <w:rPr>
          <w:rFonts w:asciiTheme="minorEastAsia" w:eastAsiaTheme="minorEastAsia" w:hAnsiTheme="minorEastAsia" w:hint="eastAsia"/>
          <w:sz w:val="20"/>
          <w:szCs w:val="20"/>
          <w:lang w:eastAsia="ko-KR"/>
        </w:rPr>
        <w:t>vol. 144(6), pp. 765-769, 2008.</w:t>
      </w:r>
    </w:p>
    <w:p w14:paraId="6CD00BB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45DEA83"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“Carcinogenicity Study Protocol Submissions,” May 2002 (available at available at </w:t>
      </w:r>
      <w:hyperlink r:id="rId56">
        <w:r w:rsidRPr="00F23BCA">
          <w:rPr>
            <w:rFonts w:asciiTheme="minorEastAsia" w:eastAsiaTheme="minorEastAsia" w:hAnsiTheme="minorEastAsia" w:hint="eastAsia"/>
            <w:color w:val="0563C1"/>
            <w:sz w:val="20"/>
            <w:szCs w:val="20"/>
            <w:u w:val="single" w:color="0563C1"/>
            <w:lang w:eastAsia="ko-KR"/>
          </w:rPr>
          <w:t>https://www.fda.gov/ucm/groups/fdagov-public/@fdagov-drugs-</w:t>
        </w:r>
      </w:hyperlink>
      <w:r w:rsidRPr="00F23BCA">
        <w:rPr>
          <w:rFonts w:asciiTheme="minorEastAsia" w:eastAsiaTheme="minorEastAsia" w:hAnsiTheme="minorEastAsia" w:hint="eastAsia"/>
          <w:color w:val="0563C1"/>
          <w:sz w:val="20"/>
          <w:szCs w:val="20"/>
          <w:lang w:eastAsia="ko-KR"/>
        </w:rPr>
        <w:t xml:space="preserve"> </w:t>
      </w:r>
      <w:hyperlink r:id="rId57">
        <w:r w:rsidRPr="00F23BCA">
          <w:rPr>
            <w:rFonts w:asciiTheme="minorEastAsia" w:eastAsiaTheme="minorEastAsia" w:hAnsiTheme="minorEastAsia" w:hint="eastAsia"/>
            <w:color w:val="0563C1"/>
            <w:sz w:val="20"/>
            <w:szCs w:val="20"/>
            <w:u w:val="single" w:color="0563C1"/>
            <w:lang w:eastAsia="ko-KR"/>
          </w:rPr>
          <w:t>gen/documents/document/ucm078924.pdf</w:t>
        </w:r>
      </w:hyperlink>
      <w:r w:rsidRPr="00F23BCA">
        <w:rPr>
          <w:rFonts w:asciiTheme="minorEastAsia" w:eastAsiaTheme="minorEastAsia" w:hAnsiTheme="minorEastAsia" w:hint="eastAsia"/>
          <w:sz w:val="20"/>
          <w:szCs w:val="20"/>
          <w:lang w:eastAsia="ko-KR"/>
        </w:rPr>
        <w:t>), accessed May 11, 2021.</w:t>
      </w:r>
    </w:p>
    <w:p w14:paraId="21FA494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9DA10A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*FDA, Guidance for Industry, “Considering Whether an FDA-Regulated Product Involves the Application of Nanotechnology,” 2014a (available at</w:t>
      </w:r>
    </w:p>
    <w:p w14:paraId="5DBD5A57" w14:textId="77777777" w:rsidR="00F23BCA" w:rsidRPr="00F23BCA" w:rsidRDefault="003D6BF5" w:rsidP="00F23BCA">
      <w:pPr>
        <w:pStyle w:val="a9"/>
        <w:jc w:val="both"/>
        <w:rPr>
          <w:rFonts w:asciiTheme="minorEastAsia" w:eastAsiaTheme="minorEastAsia" w:hAnsiTheme="minorEastAsia"/>
          <w:sz w:val="20"/>
          <w:szCs w:val="20"/>
          <w:lang w:eastAsia="ko-KR"/>
        </w:rPr>
      </w:pPr>
      <w:hyperlink r:id="rId58">
        <w:r w:rsidR="00F23BCA" w:rsidRPr="00F23BCA">
          <w:rPr>
            <w:rFonts w:asciiTheme="minorEastAsia" w:eastAsiaTheme="minorEastAsia" w:hAnsiTheme="minorEastAsia" w:hint="eastAsia"/>
            <w:color w:val="0563C1"/>
            <w:sz w:val="20"/>
            <w:szCs w:val="20"/>
            <w:u w:val="single" w:color="0563C1"/>
            <w:lang w:eastAsia="ko-KR"/>
          </w:rPr>
          <w:t>http://www.fda.gov/RegulatoryInformation/Guidances/ucm257698.htm</w:t>
        </w:r>
      </w:hyperlink>
      <w:r w:rsidR="00F23BCA" w:rsidRPr="00F23BCA">
        <w:rPr>
          <w:rFonts w:asciiTheme="minorEastAsia" w:eastAsiaTheme="minorEastAsia" w:hAnsiTheme="minorEastAsia" w:hint="eastAsia"/>
          <w:sz w:val="20"/>
          <w:szCs w:val="20"/>
          <w:lang w:eastAsia="ko-KR"/>
        </w:rPr>
        <w:t>), accessed May 25, 2021.</w:t>
      </w:r>
    </w:p>
    <w:p w14:paraId="443F91A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5C26EA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“Enforcement Policy--OTC Sunscreen Drug Products Marketed Without an Approved Application,” 2018a (available at </w:t>
      </w:r>
      <w:hyperlink r:id="rId59">
        <w:r w:rsidRPr="00F23BCA">
          <w:rPr>
            <w:rFonts w:asciiTheme="minorEastAsia" w:eastAsiaTheme="minorEastAsia" w:hAnsiTheme="minorEastAsia" w:hint="eastAsia"/>
            <w:color w:val="0563C1"/>
            <w:sz w:val="20"/>
            <w:szCs w:val="20"/>
            <w:u w:val="single" w:color="0563C1"/>
            <w:lang w:eastAsia="ko-KR"/>
          </w:rPr>
          <w:t>https://www.fda.gov/Drugs/GuidanceComplianceRegulatoryInformation/Guidances/UCM25900</w:t>
        </w:r>
      </w:hyperlink>
      <w:r w:rsidRPr="00F23BCA">
        <w:rPr>
          <w:rFonts w:asciiTheme="minorEastAsia" w:eastAsiaTheme="minorEastAsia" w:hAnsiTheme="minorEastAsia" w:hint="eastAsia"/>
          <w:color w:val="0563C1"/>
          <w:sz w:val="20"/>
          <w:szCs w:val="20"/>
          <w:lang w:eastAsia="ko-KR"/>
        </w:rPr>
        <w:t xml:space="preserve"> </w:t>
      </w:r>
      <w:hyperlink r:id="rId60">
        <w:r w:rsidRPr="00F23BCA">
          <w:rPr>
            <w:rFonts w:asciiTheme="minorEastAsia" w:eastAsiaTheme="minorEastAsia" w:hAnsiTheme="minorEastAsia" w:hint="eastAsia"/>
            <w:color w:val="0563C1"/>
            <w:sz w:val="20"/>
            <w:szCs w:val="20"/>
            <w:u w:val="single" w:color="0563C1"/>
            <w:lang w:eastAsia="ko-KR"/>
          </w:rPr>
          <w:t>1</w:t>
        </w:r>
      </w:hyperlink>
      <w:r w:rsidRPr="00F23BCA">
        <w:rPr>
          <w:rFonts w:asciiTheme="minorEastAsia" w:eastAsiaTheme="minorEastAsia" w:hAnsiTheme="minorEastAsia" w:hint="eastAsia"/>
          <w:sz w:val="20"/>
          <w:szCs w:val="20"/>
          <w:lang w:eastAsia="ko-KR"/>
        </w:rPr>
        <w:t>), accessed May 25, 2021.</w:t>
      </w:r>
    </w:p>
    <w:p w14:paraId="1F1CF4F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4EE3C7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29346F3"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“Inactive Ingredient Search for Approved Drug Products” (available at </w:t>
      </w:r>
      <w:hyperlink r:id="rId61">
        <w:r w:rsidRPr="00F23BCA">
          <w:rPr>
            <w:rFonts w:asciiTheme="minorEastAsia" w:eastAsiaTheme="minorEastAsia" w:hAnsiTheme="minorEastAsia" w:hint="eastAsia"/>
            <w:color w:val="0563C1"/>
            <w:sz w:val="20"/>
            <w:szCs w:val="20"/>
            <w:u w:val="single" w:color="0563C1"/>
            <w:lang w:eastAsia="ko-KR"/>
          </w:rPr>
          <w:t>https://www.accessdata.fda.gov/scripts/cder/iig/index.cfm</w:t>
        </w:r>
      </w:hyperlink>
      <w:r w:rsidRPr="00F23BCA">
        <w:rPr>
          <w:rFonts w:asciiTheme="minorEastAsia" w:eastAsiaTheme="minorEastAsia" w:hAnsiTheme="minorEastAsia" w:hint="eastAsia"/>
          <w:sz w:val="20"/>
          <w:szCs w:val="20"/>
          <w:lang w:eastAsia="ko-KR"/>
        </w:rPr>
        <w:t>), accessed May 25, 2021.</w:t>
      </w:r>
    </w:p>
    <w:p w14:paraId="5715B35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68CF88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“M7(R1) Assessment and Control of DNA Reactive (Mutagenic) Impurities in Pharmaceuticals to Limit Potential Carcinogenic Risk,” 2018b (available at </w:t>
      </w:r>
      <w:hyperlink r:id="rId62">
        <w:r w:rsidRPr="00F23BCA">
          <w:rPr>
            <w:rFonts w:asciiTheme="minorEastAsia" w:eastAsiaTheme="minorEastAsia" w:hAnsiTheme="minorEastAsia" w:hint="eastAsia"/>
            <w:color w:val="0563C1"/>
            <w:sz w:val="20"/>
            <w:szCs w:val="20"/>
            <w:u w:val="single" w:color="0563C1"/>
            <w:lang w:eastAsia="ko-KR"/>
          </w:rPr>
          <w:t>https://www.fda.gov/downloads/Drugs/GuidanceComplianceRegulatoryInformation/Guidances/</w:t>
        </w:r>
      </w:hyperlink>
      <w:r w:rsidRPr="00F23BCA">
        <w:rPr>
          <w:rFonts w:asciiTheme="minorEastAsia" w:eastAsiaTheme="minorEastAsia" w:hAnsiTheme="minorEastAsia" w:hint="eastAsia"/>
          <w:color w:val="0563C1"/>
          <w:sz w:val="20"/>
          <w:szCs w:val="20"/>
          <w:lang w:eastAsia="ko-KR"/>
        </w:rPr>
        <w:t xml:space="preserve"> </w:t>
      </w:r>
      <w:hyperlink r:id="rId63">
        <w:r w:rsidRPr="00F23BCA">
          <w:rPr>
            <w:rFonts w:asciiTheme="minorEastAsia" w:eastAsiaTheme="minorEastAsia" w:hAnsiTheme="minorEastAsia" w:hint="eastAsia"/>
            <w:color w:val="0563C1"/>
            <w:sz w:val="20"/>
            <w:szCs w:val="20"/>
            <w:u w:val="single" w:color="0563C1"/>
            <w:lang w:eastAsia="ko-KR"/>
          </w:rPr>
          <w:t>UCM347725.pdf</w:t>
        </w:r>
      </w:hyperlink>
      <w:r w:rsidRPr="00F23BCA">
        <w:rPr>
          <w:rFonts w:asciiTheme="minorEastAsia" w:eastAsiaTheme="minorEastAsia" w:hAnsiTheme="minorEastAsia" w:hint="eastAsia"/>
          <w:sz w:val="20"/>
          <w:szCs w:val="20"/>
          <w:lang w:eastAsia="ko-KR"/>
        </w:rPr>
        <w:t>), accessed May 25, 2021.</w:t>
      </w:r>
    </w:p>
    <w:p w14:paraId="19262AA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840298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“Maximal Usage Trials for Topically Applied Active Ingredients Being Considered for Inclusion in an Over-The-Counter Monograph: Study Elements and Considerations,” 2019a (available at </w:t>
      </w:r>
      <w:hyperlink r:id="rId64">
        <w:r w:rsidRPr="00F23BCA">
          <w:rPr>
            <w:rFonts w:asciiTheme="minorEastAsia" w:eastAsiaTheme="minorEastAsia" w:hAnsiTheme="minorEastAsia" w:hint="eastAsia"/>
            <w:color w:val="0563C1"/>
            <w:sz w:val="20"/>
            <w:szCs w:val="20"/>
            <w:u w:val="single" w:color="0563C1"/>
            <w:lang w:eastAsia="ko-KR"/>
          </w:rPr>
          <w:t>https://www.fda.gov/ucm/groups/fdagov-public/@fdagov-</w:t>
        </w:r>
      </w:hyperlink>
      <w:r w:rsidRPr="00F23BCA">
        <w:rPr>
          <w:rFonts w:asciiTheme="minorEastAsia" w:eastAsiaTheme="minorEastAsia" w:hAnsiTheme="minorEastAsia" w:hint="eastAsia"/>
          <w:color w:val="0563C1"/>
          <w:sz w:val="20"/>
          <w:szCs w:val="20"/>
          <w:lang w:eastAsia="ko-KR"/>
        </w:rPr>
        <w:t xml:space="preserve"> </w:t>
      </w:r>
      <w:hyperlink r:id="rId65">
        <w:r w:rsidRPr="00F23BCA">
          <w:rPr>
            <w:rFonts w:asciiTheme="minorEastAsia" w:eastAsiaTheme="minorEastAsia" w:hAnsiTheme="minorEastAsia" w:hint="eastAsia"/>
            <w:color w:val="0563C1"/>
            <w:sz w:val="20"/>
            <w:szCs w:val="20"/>
            <w:u w:val="single" w:color="0563C1"/>
            <w:lang w:eastAsia="ko-KR"/>
          </w:rPr>
          <w:t>drugs-gen/documents/document/ucm608356.pdf</w:t>
        </w:r>
      </w:hyperlink>
      <w:r w:rsidRPr="00F23BCA">
        <w:rPr>
          <w:rFonts w:asciiTheme="minorEastAsia" w:eastAsiaTheme="minorEastAsia" w:hAnsiTheme="minorEastAsia" w:hint="eastAsia"/>
          <w:sz w:val="20"/>
          <w:szCs w:val="20"/>
          <w:lang w:eastAsia="ko-KR"/>
        </w:rPr>
        <w:t>), accessed May 25, 2021.</w:t>
      </w:r>
    </w:p>
    <w:p w14:paraId="008520F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E4E7B2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“The Need for Long-term Rodent Carcinogenicity Studies of Pharmaceuticals,” March 1996 (available at </w:t>
      </w:r>
      <w:hyperlink r:id="rId66">
        <w:r w:rsidRPr="00F23BCA">
          <w:rPr>
            <w:rFonts w:asciiTheme="minorEastAsia" w:eastAsiaTheme="minorEastAsia" w:hAnsiTheme="minorEastAsia" w:hint="eastAsia"/>
            <w:color w:val="0563C1"/>
            <w:sz w:val="20"/>
            <w:szCs w:val="20"/>
            <w:u w:val="single" w:color="0563C1"/>
            <w:lang w:eastAsia="ko-KR"/>
          </w:rPr>
          <w:t>https://www.fda.gov/ucm/groups/fdagov-</w:t>
        </w:r>
      </w:hyperlink>
      <w:r w:rsidRPr="00F23BCA">
        <w:rPr>
          <w:rFonts w:asciiTheme="minorEastAsia" w:eastAsiaTheme="minorEastAsia" w:hAnsiTheme="minorEastAsia" w:hint="eastAsia"/>
          <w:color w:val="0563C1"/>
          <w:sz w:val="20"/>
          <w:szCs w:val="20"/>
          <w:lang w:eastAsia="ko-KR"/>
        </w:rPr>
        <w:t xml:space="preserve"> </w:t>
      </w:r>
      <w:hyperlink r:id="rId67">
        <w:r w:rsidRPr="00F23BCA">
          <w:rPr>
            <w:rFonts w:asciiTheme="minorEastAsia" w:eastAsiaTheme="minorEastAsia" w:hAnsiTheme="minorEastAsia" w:hint="eastAsia"/>
            <w:color w:val="0563C1"/>
            <w:sz w:val="20"/>
            <w:szCs w:val="20"/>
            <w:u w:val="single" w:color="0563C1"/>
            <w:lang w:eastAsia="ko-KR"/>
          </w:rPr>
          <w:t>public/@fdagov-drugs-gen/documents/document/ucm074911.pdf</w:t>
        </w:r>
      </w:hyperlink>
      <w:r w:rsidRPr="00F23BCA">
        <w:rPr>
          <w:rFonts w:asciiTheme="minorEastAsia" w:eastAsiaTheme="minorEastAsia" w:hAnsiTheme="minorEastAsia" w:hint="eastAsia"/>
          <w:sz w:val="20"/>
          <w:szCs w:val="20"/>
          <w:lang w:eastAsia="ko-KR"/>
        </w:rPr>
        <w:t>), accessed May 25, 2021.</w:t>
      </w:r>
    </w:p>
    <w:p w14:paraId="73D81FD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54ABD8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“Nonclinical Evaluation of Endocrine-Related Drug Toxicity,” 2015a (available at </w:t>
      </w:r>
      <w:hyperlink r:id="rId68">
        <w:r w:rsidRPr="00F23BCA">
          <w:rPr>
            <w:rFonts w:asciiTheme="minorEastAsia" w:eastAsiaTheme="minorEastAsia" w:hAnsiTheme="minorEastAsia" w:hint="eastAsia"/>
            <w:color w:val="0563C1"/>
            <w:sz w:val="20"/>
            <w:szCs w:val="20"/>
            <w:u w:val="single" w:color="0563C1"/>
            <w:lang w:eastAsia="ko-KR"/>
          </w:rPr>
          <w:t>https://www.fda.gov/ucm/groups/fdagov-public/@fdagov-drugs-</w:t>
        </w:r>
      </w:hyperlink>
      <w:r w:rsidRPr="00F23BCA">
        <w:rPr>
          <w:rFonts w:asciiTheme="minorEastAsia" w:eastAsiaTheme="minorEastAsia" w:hAnsiTheme="minorEastAsia" w:hint="eastAsia"/>
          <w:color w:val="0563C1"/>
          <w:sz w:val="20"/>
          <w:szCs w:val="20"/>
          <w:lang w:eastAsia="ko-KR"/>
        </w:rPr>
        <w:t xml:space="preserve"> </w:t>
      </w:r>
      <w:hyperlink r:id="rId69">
        <w:r w:rsidRPr="00F23BCA">
          <w:rPr>
            <w:rFonts w:asciiTheme="minorEastAsia" w:eastAsiaTheme="minorEastAsia" w:hAnsiTheme="minorEastAsia" w:hint="eastAsia"/>
            <w:color w:val="0563C1"/>
            <w:sz w:val="20"/>
            <w:szCs w:val="20"/>
            <w:u w:val="single" w:color="0563C1"/>
            <w:lang w:eastAsia="ko-KR"/>
          </w:rPr>
          <w:t>gen/documents/document/ucm369043.pdf</w:t>
        </w:r>
      </w:hyperlink>
      <w:r w:rsidRPr="00F23BCA">
        <w:rPr>
          <w:rFonts w:asciiTheme="minorEastAsia" w:eastAsiaTheme="minorEastAsia" w:hAnsiTheme="minorEastAsia" w:hint="eastAsia"/>
          <w:sz w:val="20"/>
          <w:szCs w:val="20"/>
          <w:lang w:eastAsia="ko-KR"/>
        </w:rPr>
        <w:t>), accessed May 25, 2021.</w:t>
      </w:r>
    </w:p>
    <w:p w14:paraId="5F54F53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950731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“Nonprescription Drug Advisory Committee, September 4-5, 2014, Meeting Minutes,” 2014b (available at </w:t>
      </w:r>
      <w:r w:rsidRPr="00F23BCA">
        <w:rPr>
          <w:rFonts w:asciiTheme="minorEastAsia" w:eastAsiaTheme="minorEastAsia" w:hAnsiTheme="minorEastAsia" w:hint="eastAsia"/>
          <w:color w:val="0563C1"/>
          <w:sz w:val="20"/>
          <w:szCs w:val="20"/>
          <w:u w:val="single" w:color="0563C1"/>
          <w:lang w:eastAsia="ko-KR"/>
        </w:rPr>
        <w:t>https://wayback.archive-</w:t>
      </w:r>
      <w:r w:rsidRPr="00F23BCA">
        <w:rPr>
          <w:rFonts w:asciiTheme="minorEastAsia" w:eastAsiaTheme="minorEastAsia" w:hAnsiTheme="minorEastAsia" w:hint="eastAsia"/>
          <w:color w:val="0563C1"/>
          <w:sz w:val="20"/>
          <w:szCs w:val="20"/>
          <w:lang w:eastAsia="ko-KR"/>
        </w:rPr>
        <w:t xml:space="preserve"> </w:t>
      </w:r>
      <w:r w:rsidRPr="00F23BCA">
        <w:rPr>
          <w:rFonts w:asciiTheme="minorEastAsia" w:eastAsiaTheme="minorEastAsia" w:hAnsiTheme="minorEastAsia" w:hint="eastAsia"/>
          <w:color w:val="0563C1"/>
          <w:sz w:val="20"/>
          <w:szCs w:val="20"/>
          <w:u w:val="single" w:color="0563C1"/>
          <w:lang w:eastAsia="ko-KR"/>
        </w:rPr>
        <w:t>it.org/7993/20170404152726/https://</w:t>
      </w:r>
      <w:hyperlink r:id="rId70">
        <w:r w:rsidRPr="00F23BCA">
          <w:rPr>
            <w:rFonts w:asciiTheme="minorEastAsia" w:eastAsiaTheme="minorEastAsia" w:hAnsiTheme="minorEastAsia" w:hint="eastAsia"/>
            <w:color w:val="0563C1"/>
            <w:sz w:val="20"/>
            <w:szCs w:val="20"/>
            <w:u w:val="single" w:color="0563C1"/>
            <w:lang w:eastAsia="ko-KR"/>
          </w:rPr>
          <w:t>www.fda.gov/downloads/AdvisoryCommittees/Committees</w:t>
        </w:r>
      </w:hyperlink>
      <w:r w:rsidRPr="00F23BCA">
        <w:rPr>
          <w:rFonts w:asciiTheme="minorEastAsia" w:eastAsiaTheme="minorEastAsia" w:hAnsiTheme="minorEastAsia" w:hint="eastAsia"/>
          <w:color w:val="0563C1"/>
          <w:sz w:val="20"/>
          <w:szCs w:val="20"/>
          <w:lang w:eastAsia="ko-KR"/>
        </w:rPr>
        <w:t xml:space="preserve"> </w:t>
      </w:r>
      <w:r w:rsidRPr="00F23BCA">
        <w:rPr>
          <w:rFonts w:asciiTheme="minorEastAsia" w:eastAsiaTheme="minorEastAsia" w:hAnsiTheme="minorEastAsia" w:hint="eastAsia"/>
          <w:color w:val="0563C1"/>
          <w:sz w:val="20"/>
          <w:szCs w:val="20"/>
          <w:u w:val="single" w:color="0563C1"/>
          <w:lang w:eastAsia="ko-KR"/>
        </w:rPr>
        <w:t>MeetingMaterials/Drugs/NonprescriptionDrugsAdvisoryCommittee/UCM421304.pdf</w:t>
      </w:r>
      <w:r w:rsidRPr="00F23BCA">
        <w:rPr>
          <w:rFonts w:asciiTheme="minorEastAsia" w:eastAsiaTheme="minorEastAsia" w:hAnsiTheme="minorEastAsia" w:hint="eastAsia"/>
          <w:sz w:val="20"/>
          <w:szCs w:val="20"/>
          <w:lang w:eastAsia="ko-KR"/>
        </w:rPr>
        <w:t>), accessed May 25, 2021.</w:t>
      </w:r>
    </w:p>
    <w:p w14:paraId="7E5CC61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829820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“Nonprescription Sunscreen Drug Products--Safety and Effectiveness Data,” November 2016 (available at </w:t>
      </w:r>
      <w:hyperlink r:id="rId71">
        <w:r w:rsidRPr="00F23BCA">
          <w:rPr>
            <w:rFonts w:asciiTheme="minorEastAsia" w:eastAsiaTheme="minorEastAsia" w:hAnsiTheme="minorEastAsia" w:hint="eastAsia"/>
            <w:color w:val="0563C1"/>
            <w:sz w:val="20"/>
            <w:szCs w:val="20"/>
            <w:u w:val="single" w:color="0563C1"/>
            <w:lang w:eastAsia="ko-KR"/>
          </w:rPr>
          <w:t>https://www.fda.gov/downloads/Drugs/GuidanceComplianceRegulatoryInformation/Guidances/</w:t>
        </w:r>
      </w:hyperlink>
      <w:r w:rsidRPr="00F23BCA">
        <w:rPr>
          <w:rFonts w:asciiTheme="minorEastAsia" w:eastAsiaTheme="minorEastAsia" w:hAnsiTheme="minorEastAsia" w:hint="eastAsia"/>
          <w:color w:val="0563C1"/>
          <w:sz w:val="20"/>
          <w:szCs w:val="20"/>
          <w:lang w:eastAsia="ko-KR"/>
        </w:rPr>
        <w:t xml:space="preserve"> </w:t>
      </w:r>
      <w:hyperlink r:id="rId72">
        <w:r w:rsidRPr="00F23BCA">
          <w:rPr>
            <w:rFonts w:asciiTheme="minorEastAsia" w:eastAsiaTheme="minorEastAsia" w:hAnsiTheme="minorEastAsia" w:hint="eastAsia"/>
            <w:color w:val="0563C1"/>
            <w:sz w:val="20"/>
            <w:szCs w:val="20"/>
            <w:u w:val="single" w:color="0563C1"/>
            <w:lang w:eastAsia="ko-KR"/>
          </w:rPr>
          <w:t>UCM473464.pdf</w:t>
        </w:r>
      </w:hyperlink>
      <w:r w:rsidRPr="00F23BCA">
        <w:rPr>
          <w:rFonts w:asciiTheme="minorEastAsia" w:eastAsiaTheme="minorEastAsia" w:hAnsiTheme="minorEastAsia" w:hint="eastAsia"/>
          <w:sz w:val="20"/>
          <w:szCs w:val="20"/>
          <w:lang w:eastAsia="ko-KR"/>
        </w:rPr>
        <w:t>), accessed May 25, 2018.</w:t>
      </w:r>
    </w:p>
    <w:p w14:paraId="7B6D4C2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B108F8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“S5A Detection of Toxicity to Reproduction for Medicinal Products,” September 1994 (available at </w:t>
      </w:r>
      <w:hyperlink r:id="rId73">
        <w:r w:rsidRPr="00F23BCA">
          <w:rPr>
            <w:rFonts w:asciiTheme="minorEastAsia" w:eastAsiaTheme="minorEastAsia" w:hAnsiTheme="minorEastAsia" w:hint="eastAsia"/>
            <w:color w:val="0563C1"/>
            <w:sz w:val="20"/>
            <w:szCs w:val="20"/>
            <w:u w:val="single" w:color="0563C1"/>
            <w:lang w:eastAsia="ko-KR"/>
          </w:rPr>
          <w:t>https://www.fda.gov/downloads/Drugs/GuidanceComplianceRegulatoryInformation/Guidances/u</w:t>
        </w:r>
      </w:hyperlink>
      <w:r w:rsidRPr="00F23BCA">
        <w:rPr>
          <w:rFonts w:asciiTheme="minorEastAsia" w:eastAsiaTheme="minorEastAsia" w:hAnsiTheme="minorEastAsia" w:hint="eastAsia"/>
          <w:color w:val="0563C1"/>
          <w:sz w:val="20"/>
          <w:szCs w:val="20"/>
          <w:lang w:eastAsia="ko-KR"/>
        </w:rPr>
        <w:t xml:space="preserve"> </w:t>
      </w:r>
      <w:hyperlink r:id="rId74">
        <w:r w:rsidRPr="00F23BCA">
          <w:rPr>
            <w:rFonts w:asciiTheme="minorEastAsia" w:eastAsiaTheme="minorEastAsia" w:hAnsiTheme="minorEastAsia" w:hint="eastAsia"/>
            <w:color w:val="0563C1"/>
            <w:sz w:val="20"/>
            <w:szCs w:val="20"/>
            <w:u w:val="single" w:color="0563C1"/>
            <w:lang w:eastAsia="ko-KR"/>
          </w:rPr>
          <w:t>cm074950.pdf</w:t>
        </w:r>
      </w:hyperlink>
      <w:r w:rsidRPr="00F23BCA">
        <w:rPr>
          <w:rFonts w:asciiTheme="minorEastAsia" w:eastAsiaTheme="minorEastAsia" w:hAnsiTheme="minorEastAsia" w:hint="eastAsia"/>
          <w:sz w:val="20"/>
          <w:szCs w:val="20"/>
          <w:lang w:eastAsia="ko-KR"/>
        </w:rPr>
        <w:t>), accessed May 25, 2021.</w:t>
      </w:r>
    </w:p>
    <w:p w14:paraId="355EE99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“S5(R3) Detection of Reproductive and Developmental Toxicity for Human Pharmaceuticals,” May 2021 (available at </w:t>
      </w:r>
      <w:hyperlink r:id="rId75">
        <w:r w:rsidRPr="00F23BCA">
          <w:rPr>
            <w:rFonts w:asciiTheme="minorEastAsia" w:eastAsiaTheme="minorEastAsia" w:hAnsiTheme="minorEastAsia" w:hint="eastAsia"/>
            <w:color w:val="0563C1"/>
            <w:sz w:val="20"/>
            <w:szCs w:val="20"/>
            <w:u w:val="single" w:color="0563C1"/>
            <w:lang w:eastAsia="ko-KR"/>
          </w:rPr>
          <w:t>https://www.fda.gov/regulatory-</w:t>
        </w:r>
      </w:hyperlink>
      <w:r w:rsidRPr="00F23BCA">
        <w:rPr>
          <w:rFonts w:asciiTheme="minorEastAsia" w:eastAsiaTheme="minorEastAsia" w:hAnsiTheme="minorEastAsia" w:hint="eastAsia"/>
          <w:color w:val="0563C1"/>
          <w:sz w:val="20"/>
          <w:szCs w:val="20"/>
          <w:lang w:eastAsia="ko-KR"/>
        </w:rPr>
        <w:t xml:space="preserve"> </w:t>
      </w:r>
      <w:hyperlink r:id="rId76">
        <w:r w:rsidRPr="00F23BCA">
          <w:rPr>
            <w:rFonts w:asciiTheme="minorEastAsia" w:eastAsiaTheme="minorEastAsia" w:hAnsiTheme="minorEastAsia" w:hint="eastAsia"/>
            <w:color w:val="0563C1"/>
            <w:sz w:val="20"/>
            <w:szCs w:val="20"/>
            <w:u w:val="single" w:color="0563C1"/>
            <w:lang w:eastAsia="ko-KR"/>
          </w:rPr>
          <w:t>information/search-fda-guidance-documents/s5r3-detection-reproductive-and-developmental-</w:t>
        </w:r>
      </w:hyperlink>
      <w:r w:rsidRPr="00F23BCA">
        <w:rPr>
          <w:rFonts w:asciiTheme="minorEastAsia" w:eastAsiaTheme="minorEastAsia" w:hAnsiTheme="minorEastAsia" w:hint="eastAsia"/>
          <w:color w:val="0563C1"/>
          <w:sz w:val="20"/>
          <w:szCs w:val="20"/>
          <w:lang w:eastAsia="ko-KR"/>
        </w:rPr>
        <w:t xml:space="preserve"> </w:t>
      </w:r>
      <w:hyperlink r:id="rId77">
        <w:r w:rsidRPr="00F23BCA">
          <w:rPr>
            <w:rFonts w:asciiTheme="minorEastAsia" w:eastAsiaTheme="minorEastAsia" w:hAnsiTheme="minorEastAsia" w:hint="eastAsia"/>
            <w:color w:val="0563C1"/>
            <w:sz w:val="20"/>
            <w:szCs w:val="20"/>
            <w:u w:val="single" w:color="0563C1"/>
            <w:lang w:eastAsia="ko-KR"/>
          </w:rPr>
          <w:t>toxicity-human-pharmaceuticals</w:t>
        </w:r>
      </w:hyperlink>
      <w:r w:rsidRPr="00F23BCA">
        <w:rPr>
          <w:rFonts w:asciiTheme="minorEastAsia" w:eastAsiaTheme="minorEastAsia" w:hAnsiTheme="minorEastAsia" w:hint="eastAsia"/>
          <w:sz w:val="20"/>
          <w:szCs w:val="20"/>
          <w:lang w:eastAsia="ko-KR"/>
        </w:rPr>
        <w:t>), accessed July 1, 2021.</w:t>
      </w:r>
    </w:p>
    <w:p w14:paraId="1534EF0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AC27B7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“S10 Photosafety Evaluation of Pharmaceuticals,” 2015b (available at </w:t>
      </w:r>
      <w:hyperlink r:id="rId78">
        <w:r w:rsidRPr="00F23BCA">
          <w:rPr>
            <w:rFonts w:asciiTheme="minorEastAsia" w:eastAsiaTheme="minorEastAsia" w:hAnsiTheme="minorEastAsia" w:hint="eastAsia"/>
            <w:color w:val="0563C1"/>
            <w:sz w:val="20"/>
            <w:szCs w:val="20"/>
            <w:u w:val="single" w:color="0563C1"/>
            <w:lang w:eastAsia="ko-KR"/>
          </w:rPr>
          <w:t>https://www.fda.gov/ucm/groups/fdagov-public/@fdagov-drugs-</w:t>
        </w:r>
      </w:hyperlink>
      <w:r w:rsidRPr="00F23BCA">
        <w:rPr>
          <w:rFonts w:asciiTheme="minorEastAsia" w:eastAsiaTheme="minorEastAsia" w:hAnsiTheme="minorEastAsia" w:hint="eastAsia"/>
          <w:color w:val="0563C1"/>
          <w:sz w:val="20"/>
          <w:szCs w:val="20"/>
          <w:lang w:eastAsia="ko-KR"/>
        </w:rPr>
        <w:t xml:space="preserve"> </w:t>
      </w:r>
      <w:hyperlink r:id="rId79">
        <w:r w:rsidRPr="00F23BCA">
          <w:rPr>
            <w:rFonts w:asciiTheme="minorEastAsia" w:eastAsiaTheme="minorEastAsia" w:hAnsiTheme="minorEastAsia" w:hint="eastAsia"/>
            <w:color w:val="0563C1"/>
            <w:sz w:val="20"/>
            <w:szCs w:val="20"/>
            <w:u w:val="single" w:color="0563C1"/>
            <w:lang w:eastAsia="ko-KR"/>
          </w:rPr>
          <w:t>gen/documents/document/ucm337572.pdf</w:t>
        </w:r>
      </w:hyperlink>
      <w:r w:rsidRPr="00F23BCA">
        <w:rPr>
          <w:rFonts w:asciiTheme="minorEastAsia" w:eastAsiaTheme="minorEastAsia" w:hAnsiTheme="minorEastAsia" w:hint="eastAsia"/>
          <w:sz w:val="20"/>
          <w:szCs w:val="20"/>
          <w:lang w:eastAsia="ko-KR"/>
        </w:rPr>
        <w:t>), accessed May 25, 2021.</w:t>
      </w:r>
    </w:p>
    <w:p w14:paraId="0208611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681CB2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“Sunscreen: How to Help Protect Your Skin from the Sun,” 2019b (available at </w:t>
      </w:r>
      <w:hyperlink r:id="rId80">
        <w:r w:rsidRPr="00F23BCA">
          <w:rPr>
            <w:rFonts w:asciiTheme="minorEastAsia" w:eastAsiaTheme="minorEastAsia" w:hAnsiTheme="minorEastAsia" w:hint="eastAsia"/>
            <w:color w:val="0563C1"/>
            <w:sz w:val="20"/>
            <w:szCs w:val="20"/>
            <w:u w:val="single" w:color="0563C1"/>
            <w:lang w:eastAsia="ko-KR"/>
          </w:rPr>
          <w:t>https://www.fda.gov/drugs/resourcesforyou/consumers/buyingusingmedicinesafely/understandin</w:t>
        </w:r>
      </w:hyperlink>
      <w:r w:rsidRPr="00F23BCA">
        <w:rPr>
          <w:rFonts w:asciiTheme="minorEastAsia" w:eastAsiaTheme="minorEastAsia" w:hAnsiTheme="minorEastAsia" w:hint="eastAsia"/>
          <w:color w:val="0563C1"/>
          <w:sz w:val="20"/>
          <w:szCs w:val="20"/>
          <w:lang w:eastAsia="ko-KR"/>
        </w:rPr>
        <w:t xml:space="preserve"> </w:t>
      </w:r>
      <w:hyperlink r:id="rId81">
        <w:r w:rsidRPr="00F23BCA">
          <w:rPr>
            <w:rFonts w:asciiTheme="minorEastAsia" w:eastAsiaTheme="minorEastAsia" w:hAnsiTheme="minorEastAsia" w:hint="eastAsia"/>
            <w:color w:val="0563C1"/>
            <w:sz w:val="20"/>
            <w:szCs w:val="20"/>
            <w:u w:val="single" w:color="0563C1"/>
            <w:lang w:eastAsia="ko-KR"/>
          </w:rPr>
          <w:t>gover-the-countermedicines/ucm239463.htm</w:t>
        </w:r>
      </w:hyperlink>
      <w:r w:rsidRPr="00F23BCA">
        <w:rPr>
          <w:rFonts w:asciiTheme="minorEastAsia" w:eastAsiaTheme="minorEastAsia" w:hAnsiTheme="minorEastAsia" w:hint="eastAsia"/>
          <w:sz w:val="20"/>
          <w:szCs w:val="20"/>
          <w:lang w:eastAsia="ko-KR"/>
        </w:rPr>
        <w:t>), accessed May 25, 2021.</w:t>
      </w:r>
    </w:p>
    <w:p w14:paraId="0C5AA30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C2D45E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Preliminary Regulatory Impact Analysis, “Sunscreen Drug Product for Over-the-Counter Human Use; Proposal to Amend and Lift Stay on Monograph” 2019 (available at </w:t>
      </w:r>
      <w:hyperlink r:id="rId82">
        <w:r w:rsidRPr="00F23BCA">
          <w:rPr>
            <w:rFonts w:asciiTheme="minorEastAsia" w:eastAsiaTheme="minorEastAsia" w:hAnsiTheme="minorEastAsia" w:hint="eastAsia"/>
            <w:color w:val="0563C1"/>
            <w:sz w:val="20"/>
            <w:szCs w:val="20"/>
            <w:u w:val="single" w:color="0563C1"/>
            <w:lang w:eastAsia="ko-KR"/>
          </w:rPr>
          <w:t>https://www.fda.gov/AboutFDA/ReportsManualsForms/Reports/EconomicAnalyses/default.htm,</w:t>
        </w:r>
      </w:hyperlink>
      <w:r w:rsidRPr="00F23BCA">
        <w:rPr>
          <w:rFonts w:asciiTheme="minorEastAsia" w:eastAsiaTheme="minorEastAsia" w:hAnsiTheme="minorEastAsia" w:hint="eastAsia"/>
          <w:color w:val="0563C1"/>
          <w:sz w:val="20"/>
          <w:szCs w:val="20"/>
          <w:lang w:eastAsia="ko-KR"/>
        </w:rPr>
        <w:t xml:space="preserve"> </w:t>
      </w:r>
      <w:hyperlink r:id="rId83">
        <w:r w:rsidRPr="00F23BCA">
          <w:rPr>
            <w:rFonts w:asciiTheme="minorEastAsia" w:eastAsiaTheme="minorEastAsia" w:hAnsiTheme="minorEastAsia" w:hint="eastAsia"/>
            <w:color w:val="0563C1"/>
            <w:sz w:val="20"/>
            <w:szCs w:val="20"/>
            <w:u w:val="single" w:color="0563C1"/>
            <w:lang w:eastAsia="ko-KR"/>
          </w:rPr>
          <w:t>accessed</w:t>
        </w:r>
      </w:hyperlink>
      <w:r w:rsidRPr="00F23BCA">
        <w:rPr>
          <w:rFonts w:asciiTheme="minorEastAsia" w:eastAsiaTheme="minorEastAsia" w:hAnsiTheme="minorEastAsia" w:hint="eastAsia"/>
          <w:color w:val="0563C1"/>
          <w:sz w:val="20"/>
          <w:szCs w:val="20"/>
          <w:u w:val="single" w:color="0563C1"/>
          <w:lang w:eastAsia="ko-KR"/>
        </w:rPr>
        <w:t xml:space="preserve"> May 25, 2021</w:t>
      </w:r>
      <w:r w:rsidRPr="00F23BCA">
        <w:rPr>
          <w:rFonts w:asciiTheme="minorEastAsia" w:eastAsiaTheme="minorEastAsia" w:hAnsiTheme="minorEastAsia" w:hint="eastAsia"/>
          <w:sz w:val="20"/>
          <w:szCs w:val="20"/>
          <w:lang w:eastAsia="ko-KR"/>
        </w:rPr>
        <w:t>.</w:t>
      </w:r>
    </w:p>
    <w:p w14:paraId="3FE0244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4DDBFA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Guidance for Industry, “Toxicokinetics: The Assessment of Systemic Exposure in Toxicity Studies,” March 1995 (available at </w:t>
      </w:r>
      <w:hyperlink r:id="rId84">
        <w:r w:rsidRPr="00F23BCA">
          <w:rPr>
            <w:rFonts w:asciiTheme="minorEastAsia" w:eastAsiaTheme="minorEastAsia" w:hAnsiTheme="minorEastAsia" w:hint="eastAsia"/>
            <w:color w:val="0563C1"/>
            <w:sz w:val="20"/>
            <w:szCs w:val="20"/>
            <w:u w:val="single" w:color="0563C1"/>
            <w:lang w:eastAsia="ko-KR"/>
          </w:rPr>
          <w:t>https://www.fda.gov/ucm/groups/fdagov-</w:t>
        </w:r>
      </w:hyperlink>
      <w:r w:rsidRPr="00F23BCA">
        <w:rPr>
          <w:rFonts w:asciiTheme="minorEastAsia" w:eastAsiaTheme="minorEastAsia" w:hAnsiTheme="minorEastAsia" w:hint="eastAsia"/>
          <w:color w:val="0563C1"/>
          <w:sz w:val="20"/>
          <w:szCs w:val="20"/>
          <w:lang w:eastAsia="ko-KR"/>
        </w:rPr>
        <w:t xml:space="preserve"> </w:t>
      </w:r>
      <w:hyperlink r:id="rId85">
        <w:r w:rsidRPr="00F23BCA">
          <w:rPr>
            <w:rFonts w:asciiTheme="minorEastAsia" w:eastAsiaTheme="minorEastAsia" w:hAnsiTheme="minorEastAsia" w:hint="eastAsia"/>
            <w:color w:val="0563C1"/>
            <w:sz w:val="20"/>
            <w:szCs w:val="20"/>
            <w:u w:val="single" w:color="0563C1"/>
            <w:lang w:eastAsia="ko-KR"/>
          </w:rPr>
          <w:t>public/@fdagov-drugs-gen/documents/document/ucm074937.pdf</w:t>
        </w:r>
      </w:hyperlink>
      <w:r w:rsidRPr="00F23BCA">
        <w:rPr>
          <w:rFonts w:asciiTheme="minorEastAsia" w:eastAsiaTheme="minorEastAsia" w:hAnsiTheme="minorEastAsia" w:hint="eastAsia"/>
          <w:sz w:val="20"/>
          <w:szCs w:val="20"/>
          <w:lang w:eastAsia="ko-KR"/>
        </w:rPr>
        <w:t>), accessed May 25, 2021.</w:t>
      </w:r>
    </w:p>
    <w:p w14:paraId="1A0EDC3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722DC5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*FDA, “Use Sunscreen Spray? Avoid Open Flame,” July 3, 2013 (available at </w:t>
      </w:r>
      <w:hyperlink r:id="rId86">
        <w:r w:rsidRPr="00F23BCA">
          <w:rPr>
            <w:rFonts w:asciiTheme="minorEastAsia" w:eastAsiaTheme="minorEastAsia" w:hAnsiTheme="minorEastAsia" w:hint="eastAsia"/>
            <w:color w:val="0563C1"/>
            <w:sz w:val="20"/>
            <w:szCs w:val="20"/>
            <w:u w:val="single" w:color="0563C1"/>
            <w:lang w:eastAsia="ko-KR"/>
          </w:rPr>
          <w:t>http://wayback.archive-</w:t>
        </w:r>
      </w:hyperlink>
      <w:r w:rsidRPr="00F23BCA">
        <w:rPr>
          <w:rFonts w:asciiTheme="minorEastAsia" w:eastAsiaTheme="minorEastAsia" w:hAnsiTheme="minorEastAsia" w:hint="eastAsia"/>
          <w:color w:val="0563C1"/>
          <w:sz w:val="20"/>
          <w:szCs w:val="20"/>
          <w:lang w:eastAsia="ko-KR"/>
        </w:rPr>
        <w:t xml:space="preserve"> </w:t>
      </w:r>
      <w:r w:rsidRPr="00F23BCA">
        <w:rPr>
          <w:rFonts w:asciiTheme="minorEastAsia" w:eastAsiaTheme="minorEastAsia" w:hAnsiTheme="minorEastAsia" w:hint="eastAsia"/>
          <w:color w:val="0563C1"/>
          <w:sz w:val="20"/>
          <w:szCs w:val="20"/>
          <w:u w:val="single" w:color="0563C1"/>
          <w:lang w:eastAsia="ko-KR"/>
        </w:rPr>
        <w:t>it.org/7993/20180125094109/https:/</w:t>
      </w:r>
      <w:hyperlink r:id="rId87">
        <w:r w:rsidRPr="00F23BCA">
          <w:rPr>
            <w:rFonts w:asciiTheme="minorEastAsia" w:eastAsiaTheme="minorEastAsia" w:hAnsiTheme="minorEastAsia" w:hint="eastAsia"/>
            <w:color w:val="0563C1"/>
            <w:sz w:val="20"/>
            <w:szCs w:val="20"/>
            <w:u w:val="single" w:color="0563C1"/>
            <w:lang w:eastAsia="ko-KR"/>
          </w:rPr>
          <w:t>www.fda.gov/ForConsumers/ConsumerUpdates/ucm359437.</w:t>
        </w:r>
      </w:hyperlink>
      <w:r w:rsidRPr="00F23BCA">
        <w:rPr>
          <w:rFonts w:asciiTheme="minorEastAsia" w:eastAsiaTheme="minorEastAsia" w:hAnsiTheme="minorEastAsia" w:hint="eastAsia"/>
          <w:color w:val="0563C1"/>
          <w:sz w:val="20"/>
          <w:szCs w:val="20"/>
          <w:lang w:eastAsia="ko-KR"/>
        </w:rPr>
        <w:t xml:space="preserve"> </w:t>
      </w:r>
      <w:r w:rsidRPr="00F23BCA">
        <w:rPr>
          <w:rFonts w:asciiTheme="minorEastAsia" w:eastAsiaTheme="minorEastAsia" w:hAnsiTheme="minorEastAsia" w:hint="eastAsia"/>
          <w:color w:val="0563C1"/>
          <w:sz w:val="20"/>
          <w:szCs w:val="20"/>
          <w:u w:val="single" w:color="0563C1"/>
          <w:lang w:eastAsia="ko-KR"/>
        </w:rPr>
        <w:t>htm</w:t>
      </w:r>
      <w:r w:rsidRPr="00F23BCA">
        <w:rPr>
          <w:rFonts w:asciiTheme="minorEastAsia" w:eastAsiaTheme="minorEastAsia" w:hAnsiTheme="minorEastAsia" w:hint="eastAsia"/>
          <w:sz w:val="20"/>
          <w:szCs w:val="20"/>
          <w:lang w:eastAsia="ko-KR"/>
        </w:rPr>
        <w:t>), accessed May 25, 2021.</w:t>
      </w:r>
    </w:p>
    <w:p w14:paraId="1F6B851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ADE9A6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Fisher, A.A., “Sunscreen Dermatitis: Para-Aminobenzoic Acid and its Derivatives,” </w:t>
      </w:r>
      <w:r w:rsidRPr="00F23BCA">
        <w:rPr>
          <w:rFonts w:asciiTheme="minorEastAsia" w:eastAsiaTheme="minorEastAsia" w:hAnsiTheme="minorEastAsia" w:hint="eastAsia"/>
          <w:i/>
          <w:sz w:val="20"/>
          <w:szCs w:val="20"/>
          <w:lang w:eastAsia="ko-KR"/>
        </w:rPr>
        <w:t>Cutis</w:t>
      </w:r>
      <w:r w:rsidRPr="00F23BCA">
        <w:rPr>
          <w:rFonts w:asciiTheme="minorEastAsia" w:eastAsiaTheme="minorEastAsia" w:hAnsiTheme="minorEastAsia" w:hint="eastAsia"/>
          <w:sz w:val="20"/>
          <w:szCs w:val="20"/>
          <w:lang w:eastAsia="ko-KR"/>
        </w:rPr>
        <w:t>, vol. 50(3), pp. 190-192, 1992.</w:t>
      </w:r>
    </w:p>
    <w:p w14:paraId="48D543D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8988FC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Fourtanier, A., D. Moyal, and S. Seite, “Sunscreens Containing the Broad-Spectrum UVA Absorber, Mexoryl SX, Prevent the Cutaneous Detrimental Effects of UV Exposure: A Review of Clinical Study Results,” </w:t>
      </w:r>
      <w:r w:rsidRPr="00F23BCA">
        <w:rPr>
          <w:rFonts w:asciiTheme="minorEastAsia" w:eastAsiaTheme="minorEastAsia" w:hAnsiTheme="minorEastAsia" w:hint="eastAsia"/>
          <w:i/>
          <w:sz w:val="20"/>
          <w:szCs w:val="20"/>
          <w:lang w:eastAsia="ko-KR"/>
        </w:rPr>
        <w:t xml:space="preserve">Photodermatology, Photoimmunology &amp; Photomedicine, </w:t>
      </w:r>
      <w:r w:rsidRPr="00F23BCA">
        <w:rPr>
          <w:rFonts w:asciiTheme="minorEastAsia" w:eastAsiaTheme="minorEastAsia" w:hAnsiTheme="minorEastAsia" w:hint="eastAsia"/>
          <w:sz w:val="20"/>
          <w:szCs w:val="20"/>
          <w:lang w:eastAsia="ko-KR"/>
        </w:rPr>
        <w:t>vol. 24(4),</w:t>
      </w:r>
    </w:p>
    <w:p w14:paraId="4FCFDA9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pp. 164-174, 2008.</w:t>
      </w:r>
    </w:p>
    <w:p w14:paraId="7401E03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704A15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Franz, T.J., P.A. Lehman, and S.G. Raney, “Use of Excised Human Skin to Assess the Bioequivalence of Topical Products,” </w:t>
      </w:r>
      <w:r w:rsidRPr="00F23BCA">
        <w:rPr>
          <w:rFonts w:asciiTheme="minorEastAsia" w:eastAsiaTheme="minorEastAsia" w:hAnsiTheme="minorEastAsia" w:hint="eastAsia"/>
          <w:i/>
          <w:sz w:val="20"/>
          <w:szCs w:val="20"/>
          <w:lang w:eastAsia="ko-KR"/>
        </w:rPr>
        <w:t>Skin Pharmacology and Physiology</w:t>
      </w:r>
      <w:r w:rsidRPr="00F23BCA">
        <w:rPr>
          <w:rFonts w:asciiTheme="minorEastAsia" w:eastAsiaTheme="minorEastAsia" w:hAnsiTheme="minorEastAsia" w:hint="eastAsia"/>
          <w:sz w:val="20"/>
          <w:szCs w:val="20"/>
          <w:lang w:eastAsia="ko-KR"/>
        </w:rPr>
        <w:t>, vol. 22, pp. 276-286, 2009.</w:t>
      </w:r>
    </w:p>
    <w:p w14:paraId="57AF238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4F3F65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Freitas, J.V., F.S. Praca, M.V. Bentley, et al., “Trans-Resveratrol and Beta-Carotene from Sunscreens Penetrate Viable Skin Layers and Reduce Cutaneous Penetration of UV-Filters,” </w:t>
      </w:r>
      <w:r w:rsidRPr="00F23BCA">
        <w:rPr>
          <w:rFonts w:asciiTheme="minorEastAsia" w:eastAsiaTheme="minorEastAsia" w:hAnsiTheme="minorEastAsia" w:hint="eastAsia"/>
          <w:i/>
          <w:sz w:val="20"/>
          <w:szCs w:val="20"/>
          <w:lang w:eastAsia="ko-KR"/>
        </w:rPr>
        <w:t>International Journal of Pharmaceutics</w:t>
      </w:r>
      <w:r w:rsidRPr="00F23BCA">
        <w:rPr>
          <w:rFonts w:asciiTheme="minorEastAsia" w:eastAsiaTheme="minorEastAsia" w:hAnsiTheme="minorEastAsia" w:hint="eastAsia"/>
          <w:sz w:val="20"/>
          <w:szCs w:val="20"/>
          <w:lang w:eastAsia="ko-KR"/>
        </w:rPr>
        <w:t>, vol. 48(1-2), pp. 131-137, 2015.</w:t>
      </w:r>
    </w:p>
    <w:p w14:paraId="4E3D8BA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A23FDE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French, J.E., “NTP Technical Report on the Toxicity Studies of 2-Hydroxy-4- Methoxybenzophenone (Cas No. 131-57-7) Adminstered Topically and in Dosed Feed to F344/N Rats and B6c3f1 Mice,” </w:t>
      </w:r>
      <w:r w:rsidRPr="00F23BCA">
        <w:rPr>
          <w:rFonts w:asciiTheme="minorEastAsia" w:eastAsiaTheme="minorEastAsia" w:hAnsiTheme="minorEastAsia" w:hint="eastAsia"/>
          <w:i/>
          <w:sz w:val="20"/>
          <w:szCs w:val="20"/>
          <w:lang w:eastAsia="ko-KR"/>
        </w:rPr>
        <w:t>Toxicity Report Series</w:t>
      </w:r>
      <w:r w:rsidRPr="00F23BCA">
        <w:rPr>
          <w:rFonts w:asciiTheme="minorEastAsia" w:eastAsiaTheme="minorEastAsia" w:hAnsiTheme="minorEastAsia" w:hint="eastAsia"/>
          <w:sz w:val="20"/>
          <w:szCs w:val="20"/>
          <w:lang w:eastAsia="ko-KR"/>
        </w:rPr>
        <w:t>, vol. 21, pp. 1-e14, 1992.</w:t>
      </w:r>
    </w:p>
    <w:p w14:paraId="41D07E81" w14:textId="77777777" w:rsidR="00F23BCA" w:rsidRPr="00F23BCA" w:rsidRDefault="00F23BCA" w:rsidP="00F23BCA">
      <w:pPr>
        <w:jc w:val="both"/>
        <w:rPr>
          <w:rFonts w:asciiTheme="minorEastAsia" w:eastAsiaTheme="minorEastAsia" w:hAnsiTheme="minorEastAsia"/>
          <w:sz w:val="20"/>
          <w:szCs w:val="20"/>
          <w:lang w:eastAsia="ko-KR"/>
        </w:rPr>
      </w:pPr>
    </w:p>
    <w:p w14:paraId="7691F0CE"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Fujishima, A., T.N. Rao, and D.A. Tryk, “Titanium dioxide photocatalysis,” </w:t>
      </w:r>
      <w:r w:rsidRPr="00F23BCA">
        <w:rPr>
          <w:rFonts w:asciiTheme="minorEastAsia" w:eastAsiaTheme="minorEastAsia" w:hAnsiTheme="minorEastAsia" w:hint="eastAsia"/>
          <w:i/>
          <w:sz w:val="20"/>
          <w:szCs w:val="20"/>
          <w:lang w:eastAsia="ko-KR"/>
        </w:rPr>
        <w:t xml:space="preserve">Journal of Photochemistry and Photobiology C: Photochemistry Reviews, </w:t>
      </w:r>
      <w:r w:rsidRPr="00F23BCA">
        <w:rPr>
          <w:rFonts w:asciiTheme="minorEastAsia" w:eastAsiaTheme="minorEastAsia" w:hAnsiTheme="minorEastAsia" w:hint="eastAsia"/>
          <w:sz w:val="20"/>
          <w:szCs w:val="20"/>
          <w:lang w:eastAsia="ko-KR"/>
        </w:rPr>
        <w:t>vol. 1(1), pp. 1-21, 2000.</w:t>
      </w:r>
    </w:p>
    <w:p w14:paraId="57CFF5C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0151009"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Gad, S.C., “Titanium.” P. Wexler, editors, </w:t>
      </w:r>
      <w:r w:rsidRPr="00F23BCA">
        <w:rPr>
          <w:rFonts w:asciiTheme="minorEastAsia" w:eastAsiaTheme="minorEastAsia" w:hAnsiTheme="minorEastAsia" w:hint="eastAsia"/>
          <w:i/>
          <w:sz w:val="20"/>
          <w:szCs w:val="20"/>
          <w:lang w:eastAsia="ko-KR"/>
        </w:rPr>
        <w:t>Encyclopedia of Toxicology (Third Edition)</w:t>
      </w:r>
      <w:r w:rsidRPr="00F23BCA">
        <w:rPr>
          <w:rFonts w:asciiTheme="minorEastAsia" w:eastAsiaTheme="minorEastAsia" w:hAnsiTheme="minorEastAsia" w:hint="eastAsia"/>
          <w:sz w:val="20"/>
          <w:szCs w:val="20"/>
          <w:lang w:eastAsia="ko-KR"/>
        </w:rPr>
        <w:t>, Oxford: Academic Press, 2014: 584-585.</w:t>
      </w:r>
    </w:p>
    <w:p w14:paraId="2315185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B52963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Gao, L., Y. Hu, C. Ni, et al., “Retrospective Study of Photopatch Testing in a Chinese Population During a 7-Year Period,” </w:t>
      </w:r>
      <w:r w:rsidRPr="00F23BCA">
        <w:rPr>
          <w:rFonts w:asciiTheme="minorEastAsia" w:eastAsiaTheme="minorEastAsia" w:hAnsiTheme="minorEastAsia" w:hint="eastAsia"/>
          <w:i/>
          <w:sz w:val="20"/>
          <w:szCs w:val="20"/>
          <w:lang w:eastAsia="ko-KR"/>
        </w:rPr>
        <w:t>Dermatitis</w:t>
      </w:r>
      <w:r w:rsidRPr="00F23BCA">
        <w:rPr>
          <w:rFonts w:asciiTheme="minorEastAsia" w:eastAsiaTheme="minorEastAsia" w:hAnsiTheme="minorEastAsia" w:hint="eastAsia"/>
          <w:sz w:val="20"/>
          <w:szCs w:val="20"/>
          <w:lang w:eastAsia="ko-KR"/>
        </w:rPr>
        <w:t>, vol. 25(1), pp. 22-26, 2014.</w:t>
      </w:r>
    </w:p>
    <w:p w14:paraId="2A5AB8E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574D48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Girschik, J., L. Fritschi, T. Threlfall, et al., “Deaths from Non-Melanoma Skin Cancer in Western Australia,” </w:t>
      </w:r>
      <w:r w:rsidRPr="00F23BCA">
        <w:rPr>
          <w:rFonts w:asciiTheme="minorEastAsia" w:eastAsiaTheme="minorEastAsia" w:hAnsiTheme="minorEastAsia" w:hint="eastAsia"/>
          <w:i/>
          <w:sz w:val="20"/>
          <w:szCs w:val="20"/>
          <w:lang w:eastAsia="ko-KR"/>
        </w:rPr>
        <w:t>Cancer Causes and Control</w:t>
      </w:r>
      <w:r w:rsidRPr="00F23BCA">
        <w:rPr>
          <w:rFonts w:asciiTheme="minorEastAsia" w:eastAsiaTheme="minorEastAsia" w:hAnsiTheme="minorEastAsia" w:hint="eastAsia"/>
          <w:sz w:val="20"/>
          <w:szCs w:val="20"/>
          <w:lang w:eastAsia="ko-KR"/>
        </w:rPr>
        <w:t>, vol. 19, pp. 879-885, 2008.</w:t>
      </w:r>
    </w:p>
    <w:p w14:paraId="1E0A31F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82C5C9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Golmohammadzadeh, S., M.R. Jaafarixx, and N. Khalili, “Evaluation of Liposomal and Conventional Formulations of Octyl Methoxycinnamate on Human Percutaneous Absorption Using the Stripping Method,” </w:t>
      </w:r>
      <w:r w:rsidRPr="00F23BCA">
        <w:rPr>
          <w:rFonts w:asciiTheme="minorEastAsia" w:eastAsiaTheme="minorEastAsia" w:hAnsiTheme="minorEastAsia" w:hint="eastAsia"/>
          <w:i/>
          <w:sz w:val="20"/>
          <w:szCs w:val="20"/>
          <w:lang w:eastAsia="ko-KR"/>
        </w:rPr>
        <w:t>Journal of Cosmetic Science</w:t>
      </w:r>
      <w:r w:rsidRPr="00F23BCA">
        <w:rPr>
          <w:rFonts w:asciiTheme="minorEastAsia" w:eastAsiaTheme="minorEastAsia" w:hAnsiTheme="minorEastAsia" w:hint="eastAsia"/>
          <w:sz w:val="20"/>
          <w:szCs w:val="20"/>
          <w:lang w:eastAsia="ko-KR"/>
        </w:rPr>
        <w:t>, vol. 59(5), pp. 385-398, 2008.</w:t>
      </w:r>
    </w:p>
    <w:p w14:paraId="28E9416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7800FBA"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Gomez, E., A. Pillon, H. Fenet, et al., “Estrogenic Activity of Cosmetic Components in Reporter Cell Lines: Parabens, UV Screens, and Musks,” </w:t>
      </w:r>
      <w:r w:rsidRPr="00F23BCA">
        <w:rPr>
          <w:rFonts w:asciiTheme="minorEastAsia" w:eastAsiaTheme="minorEastAsia" w:hAnsiTheme="minorEastAsia" w:hint="eastAsia"/>
          <w:i/>
          <w:sz w:val="20"/>
          <w:szCs w:val="20"/>
          <w:lang w:eastAsia="ko-KR"/>
        </w:rPr>
        <w:t>Journal of Toxicology and Environmental Health</w:t>
      </w:r>
      <w:r w:rsidRPr="00F23BCA">
        <w:rPr>
          <w:rFonts w:asciiTheme="minorEastAsia" w:eastAsiaTheme="minorEastAsia" w:hAnsiTheme="minorEastAsia" w:hint="eastAsia"/>
          <w:sz w:val="20"/>
          <w:szCs w:val="20"/>
          <w:lang w:eastAsia="ko-KR"/>
        </w:rPr>
        <w:t>, vol. 68(4), pp. 239-251, 2005.</w:t>
      </w:r>
    </w:p>
    <w:p w14:paraId="26E8023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DAA32A1"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Gotman, I., “Characteristics of Metals Used in Implants,” </w:t>
      </w:r>
      <w:r w:rsidRPr="00F23BCA">
        <w:rPr>
          <w:rFonts w:asciiTheme="minorEastAsia" w:eastAsiaTheme="minorEastAsia" w:hAnsiTheme="minorEastAsia" w:hint="eastAsia"/>
          <w:i/>
          <w:sz w:val="20"/>
          <w:szCs w:val="20"/>
          <w:lang w:eastAsia="ko-KR"/>
        </w:rPr>
        <w:t>Journal of Endourology</w:t>
      </w:r>
      <w:r w:rsidRPr="00F23BCA">
        <w:rPr>
          <w:rFonts w:asciiTheme="minorEastAsia" w:eastAsiaTheme="minorEastAsia" w:hAnsiTheme="minorEastAsia" w:hint="eastAsia"/>
          <w:sz w:val="20"/>
          <w:szCs w:val="20"/>
          <w:lang w:eastAsia="ko-KR"/>
        </w:rPr>
        <w:t>, vol. 11(6),</w:t>
      </w:r>
    </w:p>
    <w:p w14:paraId="75650FD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pp. 383-389, 2009.</w:t>
      </w:r>
    </w:p>
    <w:p w14:paraId="411EBF7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3A52AC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Gu, X., T. Wang, D.M. Collins, et al., “In Vitro Evaluation of Concurrent Use of Commercially Available Insect Repellent and Sunscreen Preparations,” </w:t>
      </w:r>
      <w:r w:rsidRPr="00F23BCA">
        <w:rPr>
          <w:rFonts w:asciiTheme="minorEastAsia" w:eastAsiaTheme="minorEastAsia" w:hAnsiTheme="minorEastAsia" w:hint="eastAsia"/>
          <w:i/>
          <w:sz w:val="20"/>
          <w:szCs w:val="20"/>
          <w:lang w:eastAsia="ko-KR"/>
        </w:rPr>
        <w:t>British Journal of Dermatology</w:t>
      </w:r>
      <w:r w:rsidRPr="00F23BCA">
        <w:rPr>
          <w:rFonts w:asciiTheme="minorEastAsia" w:eastAsiaTheme="minorEastAsia" w:hAnsiTheme="minorEastAsia" w:hint="eastAsia"/>
          <w:sz w:val="20"/>
          <w:szCs w:val="20"/>
          <w:lang w:eastAsia="ko-KR"/>
        </w:rPr>
        <w:t>, vol. 152(6), pp. 1263-1267, 2005.</w:t>
      </w:r>
    </w:p>
    <w:p w14:paraId="0265E9C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AC5816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Gulson, B., H. Wong, M. Korsch, et al., “Comparison of dermal absorption of zinc from different sunscreen formulations and differing UV exposure based on stable isotope tracing,” </w:t>
      </w:r>
      <w:r w:rsidRPr="00F23BCA">
        <w:rPr>
          <w:rFonts w:asciiTheme="minorEastAsia" w:eastAsiaTheme="minorEastAsia" w:hAnsiTheme="minorEastAsia" w:hint="eastAsia"/>
          <w:i/>
          <w:sz w:val="20"/>
          <w:szCs w:val="20"/>
          <w:lang w:eastAsia="ko-KR"/>
        </w:rPr>
        <w:t>The Science of the Total Environment</w:t>
      </w:r>
      <w:r w:rsidRPr="00F23BCA">
        <w:rPr>
          <w:rFonts w:asciiTheme="minorEastAsia" w:eastAsiaTheme="minorEastAsia" w:hAnsiTheme="minorEastAsia" w:hint="eastAsia"/>
          <w:sz w:val="20"/>
          <w:szCs w:val="20"/>
          <w:lang w:eastAsia="ko-KR"/>
        </w:rPr>
        <w:t>, vol. 420, pp. 313-318, 2012.</w:t>
      </w:r>
    </w:p>
    <w:p w14:paraId="26033D8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55BD8A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Gulson, B., M. McCall, M. Korsch, et al., “Small amounts of zinc from zinc oxide particles in sunscreens applied outdoors are absorbed through human skin,” </w:t>
      </w:r>
      <w:r w:rsidRPr="00F23BCA">
        <w:rPr>
          <w:rFonts w:asciiTheme="minorEastAsia" w:eastAsiaTheme="minorEastAsia" w:hAnsiTheme="minorEastAsia" w:hint="eastAsia"/>
          <w:i/>
          <w:sz w:val="20"/>
          <w:szCs w:val="20"/>
          <w:lang w:eastAsia="ko-KR"/>
        </w:rPr>
        <w:t xml:space="preserve">Toxicological Sciences, </w:t>
      </w:r>
      <w:r w:rsidRPr="00F23BCA">
        <w:rPr>
          <w:rFonts w:asciiTheme="minorEastAsia" w:eastAsiaTheme="minorEastAsia" w:hAnsiTheme="minorEastAsia" w:hint="eastAsia"/>
          <w:sz w:val="20"/>
          <w:szCs w:val="20"/>
          <w:lang w:eastAsia="ko-KR"/>
        </w:rPr>
        <w:t>vol. 118(1), pp. 140-149, 2010.</w:t>
      </w:r>
    </w:p>
    <w:p w14:paraId="0F93677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4F62B0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Gupta, V.K., J.L. Zatz, and M. Rerek, “Percutaneous Absorption of Sunscreens through Micro- Yucatan Pig Skin in Vitro,” </w:t>
      </w:r>
      <w:r w:rsidRPr="00F23BCA">
        <w:rPr>
          <w:rFonts w:asciiTheme="minorEastAsia" w:eastAsiaTheme="minorEastAsia" w:hAnsiTheme="minorEastAsia" w:hint="eastAsia"/>
          <w:i/>
          <w:sz w:val="20"/>
          <w:szCs w:val="20"/>
          <w:lang w:eastAsia="ko-KR"/>
        </w:rPr>
        <w:t>Pharmaceutical Research</w:t>
      </w:r>
      <w:r w:rsidRPr="00F23BCA">
        <w:rPr>
          <w:rFonts w:asciiTheme="minorEastAsia" w:eastAsiaTheme="minorEastAsia" w:hAnsiTheme="minorEastAsia" w:hint="eastAsia"/>
          <w:sz w:val="20"/>
          <w:szCs w:val="20"/>
          <w:lang w:eastAsia="ko-KR"/>
        </w:rPr>
        <w:t>, vol. 16(10), pp. 1602-1607, 1999.</w:t>
      </w:r>
    </w:p>
    <w:p w14:paraId="12DDBF1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FF82EB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Gustavsson Gonzalez, H., A. Farbrot, and O. Larko, “Percutaneous Absorption of Benzophenone-3, a Common Component of Topical Sunscreens,” </w:t>
      </w:r>
      <w:r w:rsidRPr="00F23BCA">
        <w:rPr>
          <w:rFonts w:asciiTheme="minorEastAsia" w:eastAsiaTheme="minorEastAsia" w:hAnsiTheme="minorEastAsia" w:hint="eastAsia"/>
          <w:i/>
          <w:sz w:val="20"/>
          <w:szCs w:val="20"/>
          <w:lang w:eastAsia="ko-KR"/>
        </w:rPr>
        <w:t>Clinical and Experimental Dermatology</w:t>
      </w:r>
      <w:r w:rsidRPr="00F23BCA">
        <w:rPr>
          <w:rFonts w:asciiTheme="minorEastAsia" w:eastAsiaTheme="minorEastAsia" w:hAnsiTheme="minorEastAsia" w:hint="eastAsia"/>
          <w:sz w:val="20"/>
          <w:szCs w:val="20"/>
          <w:lang w:eastAsia="ko-KR"/>
        </w:rPr>
        <w:t>, vol. 27(8), pp. 691-694, 2002.</w:t>
      </w:r>
    </w:p>
    <w:p w14:paraId="4F2420A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804A2A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Hanson, K.M., E. Gratton, and C.J. Bardeen, “Sunscreen Enhancement of UV-Induced Reactive Oxygen Species in the Skin,” </w:t>
      </w:r>
      <w:r w:rsidRPr="00F23BCA">
        <w:rPr>
          <w:rFonts w:asciiTheme="minorEastAsia" w:eastAsiaTheme="minorEastAsia" w:hAnsiTheme="minorEastAsia" w:hint="eastAsia"/>
          <w:i/>
          <w:sz w:val="20"/>
          <w:szCs w:val="20"/>
          <w:lang w:eastAsia="ko-KR"/>
        </w:rPr>
        <w:t xml:space="preserve">Free Radical Biology and Medicine, </w:t>
      </w:r>
      <w:r w:rsidRPr="00F23BCA">
        <w:rPr>
          <w:rFonts w:asciiTheme="minorEastAsia" w:eastAsiaTheme="minorEastAsia" w:hAnsiTheme="minorEastAsia" w:hint="eastAsia"/>
          <w:sz w:val="20"/>
          <w:szCs w:val="20"/>
          <w:lang w:eastAsia="ko-KR"/>
        </w:rPr>
        <w:t>vol. 41(8), pp. 1205-1212, 2006.</w:t>
      </w:r>
    </w:p>
    <w:p w14:paraId="24E06BD6" w14:textId="77777777" w:rsidR="00F23BCA" w:rsidRPr="00F23BCA" w:rsidRDefault="00F23BCA" w:rsidP="00F23BCA">
      <w:pPr>
        <w:jc w:val="both"/>
        <w:rPr>
          <w:rFonts w:asciiTheme="minorEastAsia" w:eastAsiaTheme="minorEastAsia" w:hAnsiTheme="minorEastAsia"/>
          <w:sz w:val="20"/>
          <w:szCs w:val="20"/>
          <w:lang w:eastAsia="ko-KR"/>
        </w:rPr>
      </w:pPr>
    </w:p>
    <w:p w14:paraId="5095A6B1"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Hayden, D.R., A. Imhof, and K.P. Velikov, “Biobased Nanoparticles for Broadband UV Protection with Photostabilized UV Filters,” </w:t>
      </w:r>
      <w:r w:rsidRPr="00F23BCA">
        <w:rPr>
          <w:rFonts w:asciiTheme="minorEastAsia" w:eastAsiaTheme="minorEastAsia" w:hAnsiTheme="minorEastAsia" w:hint="eastAsia"/>
          <w:i/>
          <w:sz w:val="20"/>
          <w:szCs w:val="20"/>
          <w:lang w:eastAsia="ko-KR"/>
        </w:rPr>
        <w:t>American Chemical Society Applied Materials and Interfaces</w:t>
      </w:r>
      <w:r w:rsidRPr="00F23BCA">
        <w:rPr>
          <w:rFonts w:asciiTheme="minorEastAsia" w:eastAsiaTheme="minorEastAsia" w:hAnsiTheme="minorEastAsia" w:hint="eastAsia"/>
          <w:sz w:val="20"/>
          <w:szCs w:val="20"/>
          <w:lang w:eastAsia="ko-KR"/>
        </w:rPr>
        <w:t>, vol. 8(48), pp. 32655-32660, 2016.</w:t>
      </w:r>
    </w:p>
    <w:p w14:paraId="1828A5C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A6B7B3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Hayden, C.G., S.E. Cross, C. Anderson, et al., “Sunscreen Penetration of Human Skin and Related Keratinocyte Toxicity after Topical Application,” </w:t>
      </w:r>
      <w:r w:rsidRPr="00F23BCA">
        <w:rPr>
          <w:rFonts w:asciiTheme="minorEastAsia" w:eastAsiaTheme="minorEastAsia" w:hAnsiTheme="minorEastAsia" w:hint="eastAsia"/>
          <w:i/>
          <w:sz w:val="20"/>
          <w:szCs w:val="20"/>
          <w:lang w:eastAsia="ko-KR"/>
        </w:rPr>
        <w:t>Skin Pharmacology and Physiology</w:t>
      </w:r>
      <w:r w:rsidRPr="00F23BCA">
        <w:rPr>
          <w:rFonts w:asciiTheme="minorEastAsia" w:eastAsiaTheme="minorEastAsia" w:hAnsiTheme="minorEastAsia" w:hint="eastAsia"/>
          <w:sz w:val="20"/>
          <w:szCs w:val="20"/>
          <w:lang w:eastAsia="ko-KR"/>
        </w:rPr>
        <w:t>, vol. 18(4), pp. 170-174, 2005.</w:t>
      </w:r>
    </w:p>
    <w:p w14:paraId="3863876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D4DAB9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Heurung, A.R., S.I. Raju, and E.M. Warshaw, “Adverse Reactions to Sunscreen Agents: Epidemiology, Responsible Irritants and Allergens, Clinical Characteristics, and Management,” </w:t>
      </w:r>
      <w:r w:rsidRPr="00F23BCA">
        <w:rPr>
          <w:rFonts w:asciiTheme="minorEastAsia" w:eastAsiaTheme="minorEastAsia" w:hAnsiTheme="minorEastAsia" w:hint="eastAsia"/>
          <w:i/>
          <w:sz w:val="20"/>
          <w:szCs w:val="20"/>
          <w:lang w:eastAsia="ko-KR"/>
        </w:rPr>
        <w:t>Dermatitis</w:t>
      </w:r>
      <w:r w:rsidRPr="00F23BCA">
        <w:rPr>
          <w:rFonts w:asciiTheme="minorEastAsia" w:eastAsiaTheme="minorEastAsia" w:hAnsiTheme="minorEastAsia" w:hint="eastAsia"/>
          <w:sz w:val="20"/>
          <w:szCs w:val="20"/>
          <w:lang w:eastAsia="ko-KR"/>
        </w:rPr>
        <w:t>, vol. 25(6), pp. 289-326, 2014a.</w:t>
      </w:r>
    </w:p>
    <w:p w14:paraId="07BCBCC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EA256C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Heurung, A.R., S.I. Raju, and E.M. Warshaw, “Benzophenones,” </w:t>
      </w:r>
      <w:r w:rsidRPr="00F23BCA">
        <w:rPr>
          <w:rFonts w:asciiTheme="minorEastAsia" w:eastAsiaTheme="minorEastAsia" w:hAnsiTheme="minorEastAsia" w:hint="eastAsia"/>
          <w:i/>
          <w:sz w:val="20"/>
          <w:szCs w:val="20"/>
          <w:lang w:eastAsia="ko-KR"/>
        </w:rPr>
        <w:t>Dermatitis</w:t>
      </w:r>
      <w:r w:rsidRPr="00F23BCA">
        <w:rPr>
          <w:rFonts w:asciiTheme="minorEastAsia" w:eastAsiaTheme="minorEastAsia" w:hAnsiTheme="minorEastAsia" w:hint="eastAsia"/>
          <w:sz w:val="20"/>
          <w:szCs w:val="20"/>
          <w:lang w:eastAsia="ko-KR"/>
        </w:rPr>
        <w:t>, vol. 25(1), pp. 3- 10, 2014b.</w:t>
      </w:r>
    </w:p>
    <w:p w14:paraId="64E9387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227EB0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Hodis, E., I.R. Watson, G.V. Kryukov, et al., “A Landscape of Driver Mutations in Melanoma,”</w:t>
      </w:r>
    </w:p>
    <w:p w14:paraId="3070FF9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 xml:space="preserve">Cell, </w:t>
      </w:r>
      <w:r w:rsidRPr="00F23BCA">
        <w:rPr>
          <w:rFonts w:asciiTheme="minorEastAsia" w:eastAsiaTheme="minorEastAsia" w:hAnsiTheme="minorEastAsia" w:hint="eastAsia"/>
          <w:sz w:val="20"/>
          <w:szCs w:val="20"/>
          <w:lang w:eastAsia="ko-KR"/>
        </w:rPr>
        <w:t>vol. 150(2), pp. 251-263, 2012.</w:t>
      </w:r>
    </w:p>
    <w:p w14:paraId="7A09B0E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0D4431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Hong, J.S., M.K. Park, M.S. Kim, et al., “Effect of Zinc Oxide Nanoparticles on Dams and Embryo-Fetal Development in Rats,” </w:t>
      </w:r>
      <w:r w:rsidRPr="00F23BCA">
        <w:rPr>
          <w:rFonts w:asciiTheme="minorEastAsia" w:eastAsiaTheme="minorEastAsia" w:hAnsiTheme="minorEastAsia" w:hint="eastAsia"/>
          <w:i/>
          <w:sz w:val="20"/>
          <w:szCs w:val="20"/>
          <w:lang w:eastAsia="ko-KR"/>
        </w:rPr>
        <w:t>International Journal of Nanomedicine</w:t>
      </w:r>
      <w:r w:rsidRPr="00F23BCA">
        <w:rPr>
          <w:rFonts w:asciiTheme="minorEastAsia" w:eastAsiaTheme="minorEastAsia" w:hAnsiTheme="minorEastAsia" w:hint="eastAsia"/>
          <w:sz w:val="20"/>
          <w:szCs w:val="20"/>
          <w:lang w:eastAsia="ko-KR"/>
        </w:rPr>
        <w:t>, vol. 9 Suppl 2, pp. 145-157, 2014a.</w:t>
      </w:r>
    </w:p>
    <w:p w14:paraId="4A1FAE8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C77B96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Hong, J.S., M.K. Park, M.S. Kim, et al., “Prenatal Development Toxicity Study of Zinc Oxide Nanoparticles in Rats,” </w:t>
      </w:r>
      <w:r w:rsidRPr="00F23BCA">
        <w:rPr>
          <w:rFonts w:asciiTheme="minorEastAsia" w:eastAsiaTheme="minorEastAsia" w:hAnsiTheme="minorEastAsia" w:hint="eastAsia"/>
          <w:i/>
          <w:sz w:val="20"/>
          <w:szCs w:val="20"/>
          <w:lang w:eastAsia="ko-KR"/>
        </w:rPr>
        <w:t>International Journal of Nanomedicine</w:t>
      </w:r>
      <w:r w:rsidRPr="00F23BCA">
        <w:rPr>
          <w:rFonts w:asciiTheme="minorEastAsia" w:eastAsiaTheme="minorEastAsia" w:hAnsiTheme="minorEastAsia" w:hint="eastAsia"/>
          <w:sz w:val="20"/>
          <w:szCs w:val="20"/>
          <w:lang w:eastAsia="ko-KR"/>
        </w:rPr>
        <w:t>, vol. 9 Suppl 2, pp. 159-171, 2014b.</w:t>
      </w:r>
    </w:p>
    <w:p w14:paraId="5810730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A194F0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Ipach, I., R. Schafer, F. Mittag, et al., “The Development of Whole Blood Titanium Levels after Instrumented Spinal Fusion--Is There a Correlation between the Number of Fused Segments and Titanium </w:t>
      </w:r>
      <w:proofErr w:type="gramStart"/>
      <w:r w:rsidRPr="00F23BCA">
        <w:rPr>
          <w:rFonts w:asciiTheme="minorEastAsia" w:eastAsiaTheme="minorEastAsia" w:hAnsiTheme="minorEastAsia" w:hint="eastAsia"/>
          <w:sz w:val="20"/>
          <w:szCs w:val="20"/>
          <w:lang w:eastAsia="ko-KR"/>
        </w:rPr>
        <w:t>Levels?,</w:t>
      </w:r>
      <w:proofErr w:type="gramEnd"/>
      <w:r w:rsidRPr="00F23BCA">
        <w:rPr>
          <w:rFonts w:asciiTheme="minorEastAsia" w:eastAsiaTheme="minorEastAsia" w:hAnsiTheme="minorEastAsia" w:hint="eastAsia"/>
          <w:sz w:val="20"/>
          <w:szCs w:val="20"/>
          <w:lang w:eastAsia="ko-KR"/>
        </w:rPr>
        <w:t xml:space="preserve">” </w:t>
      </w:r>
      <w:r w:rsidRPr="00F23BCA">
        <w:rPr>
          <w:rFonts w:asciiTheme="minorEastAsia" w:eastAsiaTheme="minorEastAsia" w:hAnsiTheme="minorEastAsia" w:hint="eastAsia"/>
          <w:i/>
          <w:sz w:val="20"/>
          <w:szCs w:val="20"/>
          <w:lang w:eastAsia="ko-KR"/>
        </w:rPr>
        <w:t>BioMed Central Musculoskeletal Disorders</w:t>
      </w:r>
      <w:r w:rsidRPr="00F23BCA">
        <w:rPr>
          <w:rFonts w:asciiTheme="minorEastAsia" w:eastAsiaTheme="minorEastAsia" w:hAnsiTheme="minorEastAsia" w:hint="eastAsia"/>
          <w:sz w:val="20"/>
          <w:szCs w:val="20"/>
          <w:lang w:eastAsia="ko-KR"/>
        </w:rPr>
        <w:t>, vol. 13, pp. 159, 2012.</w:t>
      </w:r>
    </w:p>
    <w:p w14:paraId="07FA5D1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AD2447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ISO/CIE 17166:2019(E), “Erythema Reference Action Spectrum and Standard Erythema Dose” (First Edition), May 2019 (available at </w:t>
      </w:r>
      <w:hyperlink r:id="rId88">
        <w:r w:rsidRPr="00F23BCA">
          <w:rPr>
            <w:rFonts w:asciiTheme="minorEastAsia" w:eastAsiaTheme="minorEastAsia" w:hAnsiTheme="minorEastAsia" w:hint="eastAsia"/>
            <w:color w:val="0000FF"/>
            <w:sz w:val="20"/>
            <w:szCs w:val="20"/>
            <w:u w:val="single" w:color="0000FF"/>
            <w:lang w:eastAsia="ko-KR"/>
          </w:rPr>
          <w:t>https://www.iso.org/standard/74167.html</w:t>
        </w:r>
      </w:hyperlink>
      <w:r w:rsidRPr="00F23BCA">
        <w:rPr>
          <w:rFonts w:asciiTheme="minorEastAsia" w:eastAsiaTheme="minorEastAsia" w:hAnsiTheme="minorEastAsia" w:hint="eastAsia"/>
          <w:sz w:val="20"/>
          <w:szCs w:val="20"/>
          <w:lang w:eastAsia="ko-KR"/>
        </w:rPr>
        <w:t>), accessed July 27, 2021.</w:t>
      </w:r>
    </w:p>
    <w:p w14:paraId="5F99BF3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84A1C2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Jacobs, A.C. and P.C. Brown, “Regulatory Forum Opinion Piece; Transgenic/Alternative Carcinogenicity Assays: A Retrospective Review of Studies Submitted to CDER/FDA 1997- 2014,” </w:t>
      </w:r>
      <w:r w:rsidRPr="00F23BCA">
        <w:rPr>
          <w:rFonts w:asciiTheme="minorEastAsia" w:eastAsiaTheme="minorEastAsia" w:hAnsiTheme="minorEastAsia" w:hint="eastAsia"/>
          <w:i/>
          <w:sz w:val="20"/>
          <w:szCs w:val="20"/>
          <w:lang w:eastAsia="ko-KR"/>
        </w:rPr>
        <w:t>Toxicology Pathology</w:t>
      </w:r>
      <w:r w:rsidRPr="00F23BCA">
        <w:rPr>
          <w:rFonts w:asciiTheme="minorEastAsia" w:eastAsiaTheme="minorEastAsia" w:hAnsiTheme="minorEastAsia" w:hint="eastAsia"/>
          <w:sz w:val="20"/>
          <w:szCs w:val="20"/>
          <w:lang w:eastAsia="ko-KR"/>
        </w:rPr>
        <w:t>, vol. 43(5), pp. 605-610, 2015.</w:t>
      </w:r>
    </w:p>
    <w:p w14:paraId="3E26658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211945A"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Janjua, N.R., B. Kongshoj, A.M. Andersson, et al., “Sunscreens in Human Plasma and Urine after Repeated Whole-Body Topical Application,” </w:t>
      </w:r>
      <w:r w:rsidRPr="00F23BCA">
        <w:rPr>
          <w:rFonts w:asciiTheme="minorEastAsia" w:eastAsiaTheme="minorEastAsia" w:hAnsiTheme="minorEastAsia" w:hint="eastAsia"/>
          <w:i/>
          <w:sz w:val="20"/>
          <w:szCs w:val="20"/>
          <w:lang w:eastAsia="ko-KR"/>
        </w:rPr>
        <w:t>Journal of the European Academy of Dermatology and Venereology</w:t>
      </w:r>
      <w:r w:rsidRPr="00F23BCA">
        <w:rPr>
          <w:rFonts w:asciiTheme="minorEastAsia" w:eastAsiaTheme="minorEastAsia" w:hAnsiTheme="minorEastAsia" w:hint="eastAsia"/>
          <w:sz w:val="20"/>
          <w:szCs w:val="20"/>
          <w:lang w:eastAsia="ko-KR"/>
        </w:rPr>
        <w:t>, vol. 22(4), pp. 456-461, 2008.</w:t>
      </w:r>
    </w:p>
    <w:p w14:paraId="5775364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6AF5B9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Janjua, N.R., B. Kongshoj, J.H. Petersen, et al., “Sunscreens and Thyroid Function in Humans after Short-Term Whole-Body Topical Application: A Single-Blinded Study,” </w:t>
      </w:r>
      <w:r w:rsidRPr="00F23BCA">
        <w:rPr>
          <w:rFonts w:asciiTheme="minorEastAsia" w:eastAsiaTheme="minorEastAsia" w:hAnsiTheme="minorEastAsia" w:hint="eastAsia"/>
          <w:i/>
          <w:sz w:val="20"/>
          <w:szCs w:val="20"/>
          <w:lang w:eastAsia="ko-KR"/>
        </w:rPr>
        <w:t>The British Journal of Dermatology</w:t>
      </w:r>
      <w:r w:rsidRPr="00F23BCA">
        <w:rPr>
          <w:rFonts w:asciiTheme="minorEastAsia" w:eastAsiaTheme="minorEastAsia" w:hAnsiTheme="minorEastAsia" w:hint="eastAsia"/>
          <w:sz w:val="20"/>
          <w:szCs w:val="20"/>
          <w:lang w:eastAsia="ko-KR"/>
        </w:rPr>
        <w:t>, vol. 156(5), pp. 1080-1082, 2007.</w:t>
      </w:r>
    </w:p>
    <w:p w14:paraId="505992F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768B34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Janjua, N.R., B. Mogensen, A.M. Andersson, et al., “Systemic Absorption of the Sunscreens Benzophenone-3, Octyl-Methoxycinnamate, and 3-(4-Methyl-Benzylidene) Camphor after Whole-Body Topical Application and Reproductive Hormone Levels in Humans,” </w:t>
      </w:r>
      <w:r w:rsidRPr="00F23BCA">
        <w:rPr>
          <w:rFonts w:asciiTheme="minorEastAsia" w:eastAsiaTheme="minorEastAsia" w:hAnsiTheme="minorEastAsia" w:hint="eastAsia"/>
          <w:i/>
          <w:sz w:val="20"/>
          <w:szCs w:val="20"/>
          <w:lang w:eastAsia="ko-KR"/>
        </w:rPr>
        <w:t>The Journal of Investigative Dermatology</w:t>
      </w:r>
      <w:r w:rsidRPr="00F23BCA">
        <w:rPr>
          <w:rFonts w:asciiTheme="minorEastAsia" w:eastAsiaTheme="minorEastAsia" w:hAnsiTheme="minorEastAsia" w:hint="eastAsia"/>
          <w:sz w:val="20"/>
          <w:szCs w:val="20"/>
          <w:lang w:eastAsia="ko-KR"/>
        </w:rPr>
        <w:t>, vol. 123(1), pp. 57-61, 2004.</w:t>
      </w:r>
    </w:p>
    <w:p w14:paraId="26B35E1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A2CD53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Jiang, R., M.S. Roberts, R.J. Prankerd, et al., “Percutaneous Absorption of Sunscreen Agents from Liquid Paraffin: Self-Association of Octyl Salicylate and Effects on Skin Flux,” </w:t>
      </w:r>
      <w:r w:rsidRPr="00F23BCA">
        <w:rPr>
          <w:rFonts w:asciiTheme="minorEastAsia" w:eastAsiaTheme="minorEastAsia" w:hAnsiTheme="minorEastAsia" w:hint="eastAsia"/>
          <w:i/>
          <w:sz w:val="20"/>
          <w:szCs w:val="20"/>
          <w:lang w:eastAsia="ko-KR"/>
        </w:rPr>
        <w:t>Journal of Pharmaceutical Sciences</w:t>
      </w:r>
      <w:r w:rsidRPr="00F23BCA">
        <w:rPr>
          <w:rFonts w:asciiTheme="minorEastAsia" w:eastAsiaTheme="minorEastAsia" w:hAnsiTheme="minorEastAsia" w:hint="eastAsia"/>
          <w:sz w:val="20"/>
          <w:szCs w:val="20"/>
          <w:lang w:eastAsia="ko-KR"/>
        </w:rPr>
        <w:t>, vol. 86(7), pp. 791-796, 1997.</w:t>
      </w:r>
    </w:p>
    <w:p w14:paraId="34FCA8C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BE38F3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Journe, F., M.C. Marguery, J. Rakotondrazafy, et al., “Sunscreen Sensitization: A 5-Year Study,” </w:t>
      </w:r>
      <w:r w:rsidRPr="00F23BCA">
        <w:rPr>
          <w:rFonts w:asciiTheme="minorEastAsia" w:eastAsiaTheme="minorEastAsia" w:hAnsiTheme="minorEastAsia" w:hint="eastAsia"/>
          <w:i/>
          <w:sz w:val="20"/>
          <w:szCs w:val="20"/>
          <w:lang w:eastAsia="ko-KR"/>
        </w:rPr>
        <w:t>Acta Dermato-Venereologica</w:t>
      </w:r>
      <w:r w:rsidRPr="00F23BCA">
        <w:rPr>
          <w:rFonts w:asciiTheme="minorEastAsia" w:eastAsiaTheme="minorEastAsia" w:hAnsiTheme="minorEastAsia" w:hint="eastAsia"/>
          <w:sz w:val="20"/>
          <w:szCs w:val="20"/>
          <w:lang w:eastAsia="ko-KR"/>
        </w:rPr>
        <w:t>, vol. 79(3), pp. 211-213, 1999.</w:t>
      </w:r>
    </w:p>
    <w:p w14:paraId="43F92DC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95E297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Kadry, A.M., C.S. Okereke, M.S. Abdel-Rahman, et al., “Pharmacokinetics of Benzophenone-3 after Oral Exposure in Male Rats,” </w:t>
      </w:r>
      <w:r w:rsidRPr="00F23BCA">
        <w:rPr>
          <w:rFonts w:asciiTheme="minorEastAsia" w:eastAsiaTheme="minorEastAsia" w:hAnsiTheme="minorEastAsia" w:hint="eastAsia"/>
          <w:i/>
          <w:sz w:val="20"/>
          <w:szCs w:val="20"/>
          <w:lang w:eastAsia="ko-KR"/>
        </w:rPr>
        <w:t>Journal of Applied Toxicology</w:t>
      </w:r>
      <w:r w:rsidRPr="00F23BCA">
        <w:rPr>
          <w:rFonts w:asciiTheme="minorEastAsia" w:eastAsiaTheme="minorEastAsia" w:hAnsiTheme="minorEastAsia" w:hint="eastAsia"/>
          <w:sz w:val="20"/>
          <w:szCs w:val="20"/>
          <w:lang w:eastAsia="ko-KR"/>
        </w:rPr>
        <w:t>, vol. 15(2), pp. 97-102, 1995.</w:t>
      </w:r>
    </w:p>
    <w:p w14:paraId="3C69DC4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4354B8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Kaldor, J., D. Shugg, B. Young, et al., “Non-Melanoma Skin Cancer: Ten Years of Cancer- Registry-Based Surveillance,” </w:t>
      </w:r>
      <w:r w:rsidRPr="00F23BCA">
        <w:rPr>
          <w:rFonts w:asciiTheme="minorEastAsia" w:eastAsiaTheme="minorEastAsia" w:hAnsiTheme="minorEastAsia" w:hint="eastAsia"/>
          <w:i/>
          <w:sz w:val="20"/>
          <w:szCs w:val="20"/>
          <w:lang w:eastAsia="ko-KR"/>
        </w:rPr>
        <w:t>International Journal of Cancer</w:t>
      </w:r>
      <w:r w:rsidRPr="00F23BCA">
        <w:rPr>
          <w:rFonts w:asciiTheme="minorEastAsia" w:eastAsiaTheme="minorEastAsia" w:hAnsiTheme="minorEastAsia" w:hint="eastAsia"/>
          <w:sz w:val="20"/>
          <w:szCs w:val="20"/>
          <w:lang w:eastAsia="ko-KR"/>
        </w:rPr>
        <w:t>, vol. 53, pp. 886-891, 1993.</w:t>
      </w:r>
    </w:p>
    <w:p w14:paraId="4B9FD79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E1F336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Kasichayanula S., J.D. House, T. Wang, et al., “Percutaneous Characterization of the Insect Repellent DEET and the Sunscreen Oxybenzone from Topical Skin Application,” </w:t>
      </w:r>
      <w:r w:rsidRPr="00F23BCA">
        <w:rPr>
          <w:rFonts w:asciiTheme="minorEastAsia" w:eastAsiaTheme="minorEastAsia" w:hAnsiTheme="minorEastAsia" w:hint="eastAsia"/>
          <w:i/>
          <w:sz w:val="20"/>
          <w:szCs w:val="20"/>
          <w:lang w:eastAsia="ko-KR"/>
        </w:rPr>
        <w:t>Toxicology and Applied Pharmacology</w:t>
      </w:r>
      <w:r w:rsidRPr="00F23BCA">
        <w:rPr>
          <w:rFonts w:asciiTheme="minorEastAsia" w:eastAsiaTheme="minorEastAsia" w:hAnsiTheme="minorEastAsia" w:hint="eastAsia"/>
          <w:sz w:val="20"/>
          <w:szCs w:val="20"/>
          <w:lang w:eastAsia="ko-KR"/>
        </w:rPr>
        <w:t>, vol. 223(2), pp. 187-194, 2007.</w:t>
      </w:r>
    </w:p>
    <w:p w14:paraId="1E046F1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B27337B" w14:textId="77777777" w:rsidR="00F23BCA" w:rsidRPr="00F23BCA" w:rsidRDefault="00F23BCA" w:rsidP="00F23BCA">
      <w:pPr>
        <w:pStyle w:val="a9"/>
        <w:jc w:val="both"/>
        <w:rPr>
          <w:rFonts w:asciiTheme="minorEastAsia" w:eastAsiaTheme="minorEastAsia" w:hAnsiTheme="minorEastAsia"/>
          <w:i/>
          <w:sz w:val="20"/>
          <w:szCs w:val="20"/>
          <w:lang w:eastAsia="ko-KR"/>
        </w:rPr>
      </w:pPr>
      <w:r w:rsidRPr="00F23BCA">
        <w:rPr>
          <w:rFonts w:asciiTheme="minorEastAsia" w:eastAsiaTheme="minorEastAsia" w:hAnsiTheme="minorEastAsia" w:hint="eastAsia"/>
          <w:sz w:val="20"/>
          <w:szCs w:val="20"/>
          <w:lang w:eastAsia="ko-KR"/>
        </w:rPr>
        <w:t xml:space="preserve">Kasichayanula, S., J.D. House, T. Wang, et al., “Simultaneous Analysis of Insect Repellent DEET, Sunscreen Oxybenzone and Five Relevant Metabolites by Reversed-Phase HPLC with UV Detection: Application to an In Vivo Study in a Piglet Model,” </w:t>
      </w:r>
      <w:r w:rsidRPr="00F23BCA">
        <w:rPr>
          <w:rFonts w:asciiTheme="minorEastAsia" w:eastAsiaTheme="minorEastAsia" w:hAnsiTheme="minorEastAsia" w:hint="eastAsia"/>
          <w:i/>
          <w:sz w:val="20"/>
          <w:szCs w:val="20"/>
          <w:lang w:eastAsia="ko-KR"/>
        </w:rPr>
        <w:t>Journal of Chromatography</w:t>
      </w:r>
    </w:p>
    <w:p w14:paraId="19EEB2E7"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B. Analytical Technologies in the Biomedical and Life Sciences</w:t>
      </w:r>
      <w:r w:rsidRPr="00F23BCA">
        <w:rPr>
          <w:rFonts w:asciiTheme="minorEastAsia" w:eastAsiaTheme="minorEastAsia" w:hAnsiTheme="minorEastAsia" w:hint="eastAsia"/>
          <w:sz w:val="20"/>
          <w:szCs w:val="20"/>
          <w:lang w:eastAsia="ko-KR"/>
        </w:rPr>
        <w:t>, vol. 882(1-2), pp. 271-277, 2005.</w:t>
      </w:r>
    </w:p>
    <w:p w14:paraId="75520AC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77368D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Kiss, B., T. Biro, G. Czifra, et al., “Investigation of Micronized Titanium Dioxide Penetration in Human Skin Xenografts and Its Effect on Cellular Functions of Human Skin-Derived Cells,” </w:t>
      </w:r>
      <w:r w:rsidRPr="00F23BCA">
        <w:rPr>
          <w:rFonts w:asciiTheme="minorEastAsia" w:eastAsiaTheme="minorEastAsia" w:hAnsiTheme="minorEastAsia" w:hint="eastAsia"/>
          <w:i/>
          <w:sz w:val="20"/>
          <w:szCs w:val="20"/>
          <w:lang w:eastAsia="ko-KR"/>
        </w:rPr>
        <w:t xml:space="preserve">Experimental Dermatology, </w:t>
      </w:r>
      <w:r w:rsidRPr="00F23BCA">
        <w:rPr>
          <w:rFonts w:asciiTheme="minorEastAsia" w:eastAsiaTheme="minorEastAsia" w:hAnsiTheme="minorEastAsia" w:hint="eastAsia"/>
          <w:sz w:val="20"/>
          <w:szCs w:val="20"/>
          <w:lang w:eastAsia="ko-KR"/>
        </w:rPr>
        <w:t>vol. 17(8), pp. 659-667, 2008.</w:t>
      </w:r>
    </w:p>
    <w:p w14:paraId="518A4BD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18C260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Kockler, J., S. Robertson, M. Oelgemoller, et al., “Chapter 3: Butyl Methoxy Dibenzoylmethane.” H. G. Brittian, editor. </w:t>
      </w:r>
      <w:r w:rsidRPr="00F23BCA">
        <w:rPr>
          <w:rFonts w:asciiTheme="minorEastAsia" w:eastAsiaTheme="minorEastAsia" w:hAnsiTheme="minorEastAsia" w:hint="eastAsia"/>
          <w:i/>
          <w:sz w:val="20"/>
          <w:szCs w:val="20"/>
          <w:lang w:eastAsia="ko-KR"/>
        </w:rPr>
        <w:t>Profiles of Drug Substances, Excipients, and Related Methodology</w:t>
      </w:r>
      <w:r w:rsidRPr="00F23BCA">
        <w:rPr>
          <w:rFonts w:asciiTheme="minorEastAsia" w:eastAsiaTheme="minorEastAsia" w:hAnsiTheme="minorEastAsia" w:hint="eastAsia"/>
          <w:sz w:val="20"/>
          <w:szCs w:val="20"/>
          <w:lang w:eastAsia="ko-KR"/>
        </w:rPr>
        <w:t>, vol. 38, Elsevier, pp. 87-111, 2013.</w:t>
      </w:r>
    </w:p>
    <w:p w14:paraId="389B0FB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FB5C18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Kong, B.Y., S.L. Sheu, and R.V. Kundu, “Assessment of Consumer Knowledge of New Sunscreen Labels,” </w:t>
      </w:r>
      <w:r w:rsidRPr="00F23BCA">
        <w:rPr>
          <w:rFonts w:asciiTheme="minorEastAsia" w:eastAsiaTheme="minorEastAsia" w:hAnsiTheme="minorEastAsia" w:hint="eastAsia"/>
          <w:i/>
          <w:sz w:val="20"/>
          <w:szCs w:val="20"/>
          <w:lang w:eastAsia="ko-KR"/>
        </w:rPr>
        <w:t>JAMA Dermatology</w:t>
      </w:r>
      <w:r w:rsidRPr="00F23BCA">
        <w:rPr>
          <w:rFonts w:asciiTheme="minorEastAsia" w:eastAsiaTheme="minorEastAsia" w:hAnsiTheme="minorEastAsia" w:hint="eastAsia"/>
          <w:sz w:val="20"/>
          <w:szCs w:val="20"/>
          <w:lang w:eastAsia="ko-KR"/>
        </w:rPr>
        <w:t>, vol.151(9), pp. 1028-1030, 2015.</w:t>
      </w:r>
    </w:p>
    <w:p w14:paraId="6ACE5C2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9B1B3D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Krause, M., A. Klit, M. Blomberg Jensen, et al., “Sunscreens: Are They Beneficial for Health? An Overview of Endocrine Disrupting Properties of UV-Filters,” </w:t>
      </w:r>
      <w:r w:rsidRPr="00F23BCA">
        <w:rPr>
          <w:rFonts w:asciiTheme="minorEastAsia" w:eastAsiaTheme="minorEastAsia" w:hAnsiTheme="minorEastAsia" w:hint="eastAsia"/>
          <w:i/>
          <w:sz w:val="20"/>
          <w:szCs w:val="20"/>
          <w:lang w:eastAsia="ko-KR"/>
        </w:rPr>
        <w:t>International Journal of Andrology</w:t>
      </w:r>
      <w:r w:rsidRPr="00F23BCA">
        <w:rPr>
          <w:rFonts w:asciiTheme="minorEastAsia" w:eastAsiaTheme="minorEastAsia" w:hAnsiTheme="minorEastAsia" w:hint="eastAsia"/>
          <w:sz w:val="20"/>
          <w:szCs w:val="20"/>
          <w:lang w:eastAsia="ko-KR"/>
        </w:rPr>
        <w:t>, vol. 35(3), pp. 424-436, 2012.</w:t>
      </w:r>
    </w:p>
    <w:p w14:paraId="014CDBC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C99371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Krauthammer, M., Y. Kong, B.H. Ha, et al., “Exome Sequencing Identifies Recurrent Somatic Rac1 Mutations in Melanoma,” </w:t>
      </w:r>
      <w:r w:rsidRPr="00F23BCA">
        <w:rPr>
          <w:rFonts w:asciiTheme="minorEastAsia" w:eastAsiaTheme="minorEastAsia" w:hAnsiTheme="minorEastAsia" w:hint="eastAsia"/>
          <w:i/>
          <w:sz w:val="20"/>
          <w:szCs w:val="20"/>
          <w:lang w:eastAsia="ko-KR"/>
        </w:rPr>
        <w:t xml:space="preserve">Nature Genetics, </w:t>
      </w:r>
      <w:r w:rsidRPr="00F23BCA">
        <w:rPr>
          <w:rFonts w:asciiTheme="minorEastAsia" w:eastAsiaTheme="minorEastAsia" w:hAnsiTheme="minorEastAsia" w:hint="eastAsia"/>
          <w:sz w:val="20"/>
          <w:szCs w:val="20"/>
          <w:lang w:eastAsia="ko-KR"/>
        </w:rPr>
        <w:t>vol. 44(9), pp. 1006, 2012.</w:t>
      </w:r>
    </w:p>
    <w:p w14:paraId="1CE4461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C622E7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D9E191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Kuhn, A., K. Gensch, M. Haust, et al., “Photoprotective Effects of a Broad-Spectrum Sunscreen in Ultraviolet-Induced Cutaneous Lupus Erythematosus: </w:t>
      </w:r>
      <w:proofErr w:type="gramStart"/>
      <w:r w:rsidRPr="00F23BCA">
        <w:rPr>
          <w:rFonts w:asciiTheme="minorEastAsia" w:eastAsiaTheme="minorEastAsia" w:hAnsiTheme="minorEastAsia" w:hint="eastAsia"/>
          <w:sz w:val="20"/>
          <w:szCs w:val="20"/>
          <w:lang w:eastAsia="ko-KR"/>
        </w:rPr>
        <w:t>a</w:t>
      </w:r>
      <w:proofErr w:type="gramEnd"/>
      <w:r w:rsidRPr="00F23BCA">
        <w:rPr>
          <w:rFonts w:asciiTheme="minorEastAsia" w:eastAsiaTheme="minorEastAsia" w:hAnsiTheme="minorEastAsia" w:hint="eastAsia"/>
          <w:sz w:val="20"/>
          <w:szCs w:val="20"/>
          <w:lang w:eastAsia="ko-KR"/>
        </w:rPr>
        <w:t xml:space="preserve"> Randomized, Vehicle-Controlled, Double-Blind Study,” </w:t>
      </w:r>
      <w:r w:rsidRPr="00F23BCA">
        <w:rPr>
          <w:rFonts w:asciiTheme="minorEastAsia" w:eastAsiaTheme="minorEastAsia" w:hAnsiTheme="minorEastAsia" w:hint="eastAsia"/>
          <w:i/>
          <w:sz w:val="20"/>
          <w:szCs w:val="20"/>
          <w:lang w:eastAsia="ko-KR"/>
        </w:rPr>
        <w:t xml:space="preserve">Journal of the American Academy of Dermatology, </w:t>
      </w:r>
      <w:r w:rsidRPr="00F23BCA">
        <w:rPr>
          <w:rFonts w:asciiTheme="minorEastAsia" w:eastAsiaTheme="minorEastAsia" w:hAnsiTheme="minorEastAsia" w:hint="eastAsia"/>
          <w:sz w:val="20"/>
          <w:szCs w:val="20"/>
          <w:lang w:eastAsia="ko-KR"/>
        </w:rPr>
        <w:t>vol. 64(1), pp. 37-48, 2011.</w:t>
      </w:r>
    </w:p>
    <w:p w14:paraId="15369E9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B6EE902"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Kurul, E. and S. Hekimoglu, “Skin Permeation of Two Different Benzophenone Derivatives from Various Vehicles,” </w:t>
      </w:r>
      <w:r w:rsidRPr="00F23BCA">
        <w:rPr>
          <w:rFonts w:asciiTheme="minorEastAsia" w:eastAsiaTheme="minorEastAsia" w:hAnsiTheme="minorEastAsia" w:hint="eastAsia"/>
          <w:i/>
          <w:sz w:val="20"/>
          <w:szCs w:val="20"/>
          <w:lang w:eastAsia="ko-KR"/>
        </w:rPr>
        <w:t>International Journal of Cosmetic Science</w:t>
      </w:r>
      <w:r w:rsidRPr="00F23BCA">
        <w:rPr>
          <w:rFonts w:asciiTheme="minorEastAsia" w:eastAsiaTheme="minorEastAsia" w:hAnsiTheme="minorEastAsia" w:hint="eastAsia"/>
          <w:sz w:val="20"/>
          <w:szCs w:val="20"/>
          <w:lang w:eastAsia="ko-KR"/>
        </w:rPr>
        <w:t>, vol. 23(4), pp. 211-218, 2001.</w:t>
      </w:r>
    </w:p>
    <w:p w14:paraId="18EDEFF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B1C4C91"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Leikauf, G.D., “Chapter 15: Toxic Responses of the Respiratory System,” C.D. Klaassen, editor. </w:t>
      </w:r>
      <w:r w:rsidRPr="00F23BCA">
        <w:rPr>
          <w:rFonts w:asciiTheme="minorEastAsia" w:eastAsiaTheme="minorEastAsia" w:hAnsiTheme="minorEastAsia" w:hint="eastAsia"/>
          <w:i/>
          <w:sz w:val="20"/>
          <w:szCs w:val="20"/>
          <w:lang w:eastAsia="ko-KR"/>
        </w:rPr>
        <w:t>Casarett and Doull's Toxicology: The Basic Science of Poisons</w:t>
      </w:r>
      <w:r w:rsidRPr="00F23BCA">
        <w:rPr>
          <w:rFonts w:asciiTheme="minorEastAsia" w:eastAsiaTheme="minorEastAsia" w:hAnsiTheme="minorEastAsia" w:hint="eastAsia"/>
          <w:sz w:val="20"/>
          <w:szCs w:val="20"/>
          <w:lang w:eastAsia="ko-KR"/>
        </w:rPr>
        <w:t>, 8th ed., New York, NY: McGraw-Hill; pp. 691-732, 2013.</w:t>
      </w:r>
    </w:p>
    <w:p w14:paraId="07B2557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F8529DE"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Leite-Silva, V.R., M. Le Lamer, W.Y. Sanchez, et al., “The Effect of Formulation on the Penetration of Coated and Uncoated Zinc Oxide Nanoparticles into the Viable Epidermis of Human Skin in Vivo,” </w:t>
      </w:r>
      <w:r w:rsidRPr="00F23BCA">
        <w:rPr>
          <w:rFonts w:asciiTheme="minorEastAsia" w:eastAsiaTheme="minorEastAsia" w:hAnsiTheme="minorEastAsia" w:hint="eastAsia"/>
          <w:i/>
          <w:sz w:val="20"/>
          <w:szCs w:val="20"/>
          <w:lang w:eastAsia="ko-KR"/>
        </w:rPr>
        <w:t xml:space="preserve">European Journal of Pharmaceutics and Biopharmaceutics, </w:t>
      </w:r>
      <w:r w:rsidRPr="00F23BCA">
        <w:rPr>
          <w:rFonts w:asciiTheme="minorEastAsia" w:eastAsiaTheme="minorEastAsia" w:hAnsiTheme="minorEastAsia" w:hint="eastAsia"/>
          <w:sz w:val="20"/>
          <w:szCs w:val="20"/>
          <w:lang w:eastAsia="ko-KR"/>
        </w:rPr>
        <w:t>vol. 84(2),</w:t>
      </w:r>
    </w:p>
    <w:p w14:paraId="12A4049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pp. 297-308, 2013.</w:t>
      </w:r>
    </w:p>
    <w:p w14:paraId="3951C22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091C76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Li, C.H., C.C. Shen, Y.W. Cheng, et al., “Organ Biodistribution, Clearance, and Genotoxicity of Orally Administered Zinc Oxide Nanoparticles in Mice,” </w:t>
      </w:r>
      <w:r w:rsidRPr="00F23BCA">
        <w:rPr>
          <w:rFonts w:asciiTheme="minorEastAsia" w:eastAsiaTheme="minorEastAsia" w:hAnsiTheme="minorEastAsia" w:hint="eastAsia"/>
          <w:i/>
          <w:sz w:val="20"/>
          <w:szCs w:val="20"/>
          <w:lang w:eastAsia="ko-KR"/>
        </w:rPr>
        <w:t xml:space="preserve">Nanotoxicology, </w:t>
      </w:r>
      <w:r w:rsidRPr="00F23BCA">
        <w:rPr>
          <w:rFonts w:asciiTheme="minorEastAsia" w:eastAsiaTheme="minorEastAsia" w:hAnsiTheme="minorEastAsia" w:hint="eastAsia"/>
          <w:sz w:val="20"/>
          <w:szCs w:val="20"/>
          <w:lang w:eastAsia="ko-KR"/>
        </w:rPr>
        <w:t>vol. 6(7), pp. 746-756, 2012.</w:t>
      </w:r>
    </w:p>
    <w:p w14:paraId="439AA81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F2F1149"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Littleton, F., Jr., “Warfarin and Topical Salicylates,” </w:t>
      </w:r>
      <w:r w:rsidRPr="00F23BCA">
        <w:rPr>
          <w:rFonts w:asciiTheme="minorEastAsia" w:eastAsiaTheme="minorEastAsia" w:hAnsiTheme="minorEastAsia" w:hint="eastAsia"/>
          <w:i/>
          <w:sz w:val="20"/>
          <w:szCs w:val="20"/>
          <w:lang w:eastAsia="ko-KR"/>
        </w:rPr>
        <w:t>Journal of the American Medical Society</w:t>
      </w:r>
      <w:r w:rsidRPr="00F23BCA">
        <w:rPr>
          <w:rFonts w:asciiTheme="minorEastAsia" w:eastAsiaTheme="minorEastAsia" w:hAnsiTheme="minorEastAsia" w:hint="eastAsia"/>
          <w:sz w:val="20"/>
          <w:szCs w:val="20"/>
          <w:lang w:eastAsia="ko-KR"/>
        </w:rPr>
        <w:t>, vol. 263(21), p. 2888, 1990.</w:t>
      </w:r>
    </w:p>
    <w:p w14:paraId="6BB6E75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2D531C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Liu, X., D. Rua, A. Wokovich, et al., “Particle Size Distribution Analysis of OTC Aerosol or Powder Drug Products with Potential for Inadvertent Inhalation Exposure to Consumers,” </w:t>
      </w:r>
      <w:r w:rsidRPr="00F23BCA">
        <w:rPr>
          <w:rFonts w:asciiTheme="minorEastAsia" w:eastAsiaTheme="minorEastAsia" w:hAnsiTheme="minorEastAsia" w:hint="eastAsia"/>
          <w:i/>
          <w:sz w:val="20"/>
          <w:szCs w:val="20"/>
          <w:lang w:eastAsia="ko-KR"/>
        </w:rPr>
        <w:t xml:space="preserve">Journal of Pharmaceutical Science, </w:t>
      </w:r>
      <w:r w:rsidRPr="00F23BCA">
        <w:rPr>
          <w:rFonts w:asciiTheme="minorEastAsia" w:eastAsiaTheme="minorEastAsia" w:hAnsiTheme="minorEastAsia" w:hint="eastAsia"/>
          <w:sz w:val="20"/>
          <w:szCs w:val="20"/>
          <w:lang w:eastAsia="ko-KR"/>
        </w:rPr>
        <w:t xml:space="preserve">doi: 10.1016/j.xphs.2018.10.066 (Epub ahead of print), 2018, (available at </w:t>
      </w:r>
      <w:hyperlink r:id="rId89">
        <w:r w:rsidRPr="00F23BCA">
          <w:rPr>
            <w:rFonts w:asciiTheme="minorEastAsia" w:eastAsiaTheme="minorEastAsia" w:hAnsiTheme="minorEastAsia" w:hint="eastAsia"/>
            <w:color w:val="0563C1"/>
            <w:sz w:val="20"/>
            <w:szCs w:val="20"/>
            <w:u w:val="single" w:color="0563C1"/>
            <w:lang w:eastAsia="ko-KR"/>
          </w:rPr>
          <w:t>https://www.ncbi.nlm.nih.gov/pubmed/30468827</w:t>
        </w:r>
        <w:r w:rsidRPr="00F23BCA">
          <w:rPr>
            <w:rFonts w:asciiTheme="minorEastAsia" w:eastAsiaTheme="minorEastAsia" w:hAnsiTheme="minorEastAsia" w:hint="eastAsia"/>
            <w:sz w:val="20"/>
            <w:szCs w:val="20"/>
            <w:lang w:eastAsia="ko-KR"/>
          </w:rPr>
          <w:t>,</w:t>
        </w:r>
      </w:hyperlink>
      <w:r w:rsidRPr="00F23BCA">
        <w:rPr>
          <w:rFonts w:asciiTheme="minorEastAsia" w:eastAsiaTheme="minorEastAsia" w:hAnsiTheme="minorEastAsia" w:hint="eastAsia"/>
          <w:sz w:val="20"/>
          <w:szCs w:val="20"/>
          <w:lang w:eastAsia="ko-KR"/>
        </w:rPr>
        <w:t xml:space="preserve"> accessed May 25, 2021.</w:t>
      </w:r>
    </w:p>
    <w:p w14:paraId="27E32B8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108E50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Liu, X., D. Rua, A. Wokovich, et al., “Particle Size Distribution Analysis of OTC Drug Products with Unintended Inhalation Exposure to Consumers [abstract].” In: American Association of Pharmaceutical Scientists Annual Meeting and Exposition; November 12-15, 2017; San Diego Convention Center. Abstract number T1109, 2017.</w:t>
      </w:r>
    </w:p>
    <w:p w14:paraId="5D463BD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A72973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Ma, R., B. Cotton, W. Lichtensteiger, et al., “UV Filters with Antagonistic Action at Androgen Receptors in the MDA-kb2 Cell Transcriptional-Activation Assay,” </w:t>
      </w:r>
      <w:r w:rsidRPr="00F23BCA">
        <w:rPr>
          <w:rFonts w:asciiTheme="minorEastAsia" w:eastAsiaTheme="minorEastAsia" w:hAnsiTheme="minorEastAsia" w:hint="eastAsia"/>
          <w:i/>
          <w:sz w:val="20"/>
          <w:szCs w:val="20"/>
          <w:lang w:eastAsia="ko-KR"/>
        </w:rPr>
        <w:t>Toxicological Sciences</w:t>
      </w:r>
      <w:r w:rsidRPr="00F23BCA">
        <w:rPr>
          <w:rFonts w:asciiTheme="minorEastAsia" w:eastAsiaTheme="minorEastAsia" w:hAnsiTheme="minorEastAsia" w:hint="eastAsia"/>
          <w:sz w:val="20"/>
          <w:szCs w:val="20"/>
          <w:lang w:eastAsia="ko-KR"/>
        </w:rPr>
        <w:t>, vol. 74(1), pp. 43-50, 2003.</w:t>
      </w:r>
    </w:p>
    <w:p w14:paraId="491F4F2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12D4E68"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Mackie, B.S., and L.E. Mackie, “The PABA Story,” </w:t>
      </w:r>
      <w:r w:rsidRPr="00F23BCA">
        <w:rPr>
          <w:rFonts w:asciiTheme="minorEastAsia" w:eastAsiaTheme="minorEastAsia" w:hAnsiTheme="minorEastAsia" w:hint="eastAsia"/>
          <w:i/>
          <w:sz w:val="20"/>
          <w:szCs w:val="20"/>
          <w:lang w:eastAsia="ko-KR"/>
        </w:rPr>
        <w:t>The Australasian Journal of Dermatology</w:t>
      </w:r>
      <w:r w:rsidRPr="00F23BCA">
        <w:rPr>
          <w:rFonts w:asciiTheme="minorEastAsia" w:eastAsiaTheme="minorEastAsia" w:hAnsiTheme="minorEastAsia" w:hint="eastAsia"/>
          <w:sz w:val="20"/>
          <w:szCs w:val="20"/>
          <w:lang w:eastAsia="ko-KR"/>
        </w:rPr>
        <w:t>, vol. 40(1), pp. 51-53, 1999.</w:t>
      </w:r>
    </w:p>
    <w:p w14:paraId="5225DC8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18ACED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Madan, R.K. and J. Levitt, “A Review of Toxicity from Topical Salicylic Acid Preparations,”</w:t>
      </w:r>
    </w:p>
    <w:p w14:paraId="152EAC42"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 xml:space="preserve">Journal of the American Academy of Dermatology, </w:t>
      </w:r>
      <w:r w:rsidRPr="00F23BCA">
        <w:rPr>
          <w:rFonts w:asciiTheme="minorEastAsia" w:eastAsiaTheme="minorEastAsia" w:hAnsiTheme="minorEastAsia" w:hint="eastAsia"/>
          <w:sz w:val="20"/>
          <w:szCs w:val="20"/>
          <w:lang w:eastAsia="ko-KR"/>
        </w:rPr>
        <w:t>vol. 70(4), pp. 788-792, 2014.</w:t>
      </w:r>
    </w:p>
    <w:p w14:paraId="3A932DC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B4F0D6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Marionnet, C., C. Pierrard, C. Golebiewski, et al., “Diversity of Biological Effects Induced by Longwave UVA Rays (UVA1) in Reconstructed Skin,” </w:t>
      </w:r>
      <w:r w:rsidRPr="00F23BCA">
        <w:rPr>
          <w:rFonts w:asciiTheme="minorEastAsia" w:eastAsiaTheme="minorEastAsia" w:hAnsiTheme="minorEastAsia" w:hint="eastAsia"/>
          <w:i/>
          <w:sz w:val="20"/>
          <w:szCs w:val="20"/>
          <w:lang w:eastAsia="ko-KR"/>
        </w:rPr>
        <w:t xml:space="preserve">PLoS One, </w:t>
      </w:r>
      <w:r w:rsidRPr="00F23BCA">
        <w:rPr>
          <w:rFonts w:asciiTheme="minorEastAsia" w:eastAsiaTheme="minorEastAsia" w:hAnsiTheme="minorEastAsia" w:hint="eastAsia"/>
          <w:sz w:val="20"/>
          <w:szCs w:val="20"/>
          <w:lang w:eastAsia="ko-KR"/>
        </w:rPr>
        <w:t>vol. 9(8), 2014.</w:t>
      </w:r>
    </w:p>
    <w:p w14:paraId="62C2A69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07D340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Matlack, S., “From Tanning Accessory to Health Necessity: History of the OTC Sunscreen Monograph in Light of the Sunscreen Revolution,” 2009 (available at </w:t>
      </w:r>
      <w:r w:rsidRPr="00F23BCA">
        <w:rPr>
          <w:rFonts w:asciiTheme="minorEastAsia" w:eastAsiaTheme="minorEastAsia" w:hAnsiTheme="minorEastAsia" w:hint="eastAsia"/>
          <w:color w:val="0563C1"/>
          <w:sz w:val="20"/>
          <w:szCs w:val="20"/>
          <w:u w:val="single" w:color="0563C1"/>
          <w:lang w:eastAsia="ko-KR"/>
        </w:rPr>
        <w:t>https://nrs.harvard.edu/urn-3:HUL.InstRepos:8965570</w:t>
      </w:r>
      <w:r w:rsidRPr="00F23BCA">
        <w:rPr>
          <w:rFonts w:asciiTheme="minorEastAsia" w:eastAsiaTheme="minorEastAsia" w:hAnsiTheme="minorEastAsia" w:hint="eastAsia"/>
          <w:sz w:val="20"/>
          <w:szCs w:val="20"/>
          <w:lang w:eastAsia="ko-KR"/>
        </w:rPr>
        <w:t>), accessed March 27, 2018.</w:t>
      </w:r>
    </w:p>
    <w:p w14:paraId="3E4226E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ADBE38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Matta, M.K., J. Florian, R. Zusterzeel et al., “Effect of Sunscreen Application on Plasma Concentration of Sunscreen Active Ingredients: A Randomized Clinical Trial,” </w:t>
      </w:r>
      <w:r w:rsidRPr="00F23BCA">
        <w:rPr>
          <w:rFonts w:asciiTheme="minorEastAsia" w:eastAsiaTheme="minorEastAsia" w:hAnsiTheme="minorEastAsia" w:hint="eastAsia"/>
          <w:i/>
          <w:sz w:val="20"/>
          <w:szCs w:val="20"/>
          <w:lang w:eastAsia="ko-KR"/>
        </w:rPr>
        <w:t>Journal of the American Medical Association</w:t>
      </w:r>
      <w:r w:rsidRPr="00F23BCA">
        <w:rPr>
          <w:rFonts w:asciiTheme="minorEastAsia" w:eastAsiaTheme="minorEastAsia" w:hAnsiTheme="minorEastAsia" w:hint="eastAsia"/>
          <w:sz w:val="20"/>
          <w:szCs w:val="20"/>
          <w:lang w:eastAsia="ko-KR"/>
        </w:rPr>
        <w:t xml:space="preserve">, vol. 323(3), pp. 256-267, 2020 (available at </w:t>
      </w:r>
      <w:hyperlink r:id="rId90">
        <w:r w:rsidRPr="00F23BCA">
          <w:rPr>
            <w:rFonts w:asciiTheme="minorEastAsia" w:eastAsiaTheme="minorEastAsia" w:hAnsiTheme="minorEastAsia" w:hint="eastAsia"/>
            <w:color w:val="0000FF"/>
            <w:sz w:val="20"/>
            <w:szCs w:val="20"/>
            <w:u w:val="single" w:color="0000FF"/>
            <w:lang w:eastAsia="ko-KR"/>
          </w:rPr>
          <w:t>https://jamanetwork.com/journals/jama/fullarticle/2759002</w:t>
        </w:r>
      </w:hyperlink>
      <w:r w:rsidRPr="00F23BCA">
        <w:rPr>
          <w:rFonts w:asciiTheme="minorEastAsia" w:eastAsiaTheme="minorEastAsia" w:hAnsiTheme="minorEastAsia" w:hint="eastAsia"/>
          <w:sz w:val="20"/>
          <w:szCs w:val="20"/>
          <w:lang w:eastAsia="ko-KR"/>
        </w:rPr>
        <w:t>), accessed August 12, 2021.</w:t>
      </w:r>
    </w:p>
    <w:p w14:paraId="30B5A4C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37FA9E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Matta, M.K., R. Zusterzeel, R.P. Nageswara Matta et al., “Effect of Sunscreen Application Under Maximal Use Conditions on Plasma Concentration of Sunscreen Active Ingredients: A Randomized Clinical Trial</w:t>
      </w:r>
      <w:r w:rsidRPr="00F23BCA">
        <w:rPr>
          <w:rFonts w:asciiTheme="minorEastAsia" w:eastAsiaTheme="minorEastAsia" w:hAnsiTheme="minorEastAsia" w:hint="eastAsia"/>
          <w:i/>
          <w:sz w:val="20"/>
          <w:szCs w:val="20"/>
          <w:lang w:eastAsia="ko-KR"/>
        </w:rPr>
        <w:t>,” Journal of the American Medical Association</w:t>
      </w:r>
      <w:r w:rsidRPr="00F23BCA">
        <w:rPr>
          <w:rFonts w:asciiTheme="minorEastAsia" w:eastAsiaTheme="minorEastAsia" w:hAnsiTheme="minorEastAsia" w:hint="eastAsia"/>
          <w:sz w:val="20"/>
          <w:szCs w:val="20"/>
          <w:lang w:eastAsia="ko-KR"/>
        </w:rPr>
        <w:t xml:space="preserve">, vol. 321(21), pp. 2082-2091, 2019 (available at </w:t>
      </w:r>
      <w:hyperlink r:id="rId91">
        <w:r w:rsidRPr="00F23BCA">
          <w:rPr>
            <w:rFonts w:asciiTheme="minorEastAsia" w:eastAsiaTheme="minorEastAsia" w:hAnsiTheme="minorEastAsia" w:hint="eastAsia"/>
            <w:color w:val="0000FF"/>
            <w:sz w:val="20"/>
            <w:szCs w:val="20"/>
            <w:u w:val="single" w:color="0000FF"/>
            <w:lang w:eastAsia="ko-KR"/>
          </w:rPr>
          <w:t>https://jamanetwork.com/journals/jama/fullarticle/2733085</w:t>
        </w:r>
      </w:hyperlink>
      <w:r w:rsidRPr="00F23BCA">
        <w:rPr>
          <w:rFonts w:asciiTheme="minorEastAsia" w:eastAsiaTheme="minorEastAsia" w:hAnsiTheme="minorEastAsia" w:hint="eastAsia"/>
          <w:sz w:val="20"/>
          <w:szCs w:val="20"/>
          <w:lang w:eastAsia="ko-KR"/>
        </w:rPr>
        <w:t>),</w:t>
      </w:r>
    </w:p>
    <w:p w14:paraId="13A6F36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accessed August 12, 2021.</w:t>
      </w:r>
    </w:p>
    <w:p w14:paraId="06D50F3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6B46A9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McKinlay, A.F. and B.L. Diffey, “A Reference Action Spectrum for Ultraviolet Induced Erythema in Ruman Skin,” </w:t>
      </w:r>
      <w:r w:rsidRPr="00F23BCA">
        <w:rPr>
          <w:rFonts w:asciiTheme="minorEastAsia" w:eastAsiaTheme="minorEastAsia" w:hAnsiTheme="minorEastAsia" w:hint="eastAsia"/>
          <w:i/>
          <w:sz w:val="20"/>
          <w:szCs w:val="20"/>
          <w:lang w:eastAsia="ko-KR"/>
        </w:rPr>
        <w:t xml:space="preserve">CIE-Journal, </w:t>
      </w:r>
      <w:r w:rsidRPr="00F23BCA">
        <w:rPr>
          <w:rFonts w:asciiTheme="minorEastAsia" w:eastAsiaTheme="minorEastAsia" w:hAnsiTheme="minorEastAsia" w:hint="eastAsia"/>
          <w:sz w:val="20"/>
          <w:szCs w:val="20"/>
          <w:lang w:eastAsia="ko-KR"/>
        </w:rPr>
        <w:t>vol. 6, pp. 17-22, 1987.</w:t>
      </w:r>
    </w:p>
    <w:p w14:paraId="42693D7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A685460"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Mitchnick, M.A., D. Fairhurst, and S.R. Pinnell, “Microfine Zinc Oxide (Z-Cote) as a Photostable UVA/UVB Sunblock Agent,” </w:t>
      </w:r>
      <w:r w:rsidRPr="00F23BCA">
        <w:rPr>
          <w:rFonts w:asciiTheme="minorEastAsia" w:eastAsiaTheme="minorEastAsia" w:hAnsiTheme="minorEastAsia" w:hint="eastAsia"/>
          <w:i/>
          <w:sz w:val="20"/>
          <w:szCs w:val="20"/>
          <w:lang w:eastAsia="ko-KR"/>
        </w:rPr>
        <w:t xml:space="preserve">Journal of the American Academy of Dermatology, </w:t>
      </w:r>
      <w:r w:rsidRPr="00F23BCA">
        <w:rPr>
          <w:rFonts w:asciiTheme="minorEastAsia" w:eastAsiaTheme="minorEastAsia" w:hAnsiTheme="minorEastAsia" w:hint="eastAsia"/>
          <w:sz w:val="20"/>
          <w:szCs w:val="20"/>
          <w:lang w:eastAsia="ko-KR"/>
        </w:rPr>
        <w:t>vol. 40(1), pp. 85-90, 1999.</w:t>
      </w:r>
    </w:p>
    <w:p w14:paraId="6F79C5A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DA0B59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Monteiro-Riviere, N.A., K. Wiench, R. Landsiedel, et al., “Safety Evaluation of Sunscreen Formulations Containing Titanium Dioxide and Zinc Oxide Nanoparticles in UVB Sunburned Skin: An in Vitro and in Vivo Study,” </w:t>
      </w:r>
      <w:r w:rsidRPr="00F23BCA">
        <w:rPr>
          <w:rFonts w:asciiTheme="minorEastAsia" w:eastAsiaTheme="minorEastAsia" w:hAnsiTheme="minorEastAsia" w:hint="eastAsia"/>
          <w:i/>
          <w:sz w:val="20"/>
          <w:szCs w:val="20"/>
          <w:lang w:eastAsia="ko-KR"/>
        </w:rPr>
        <w:t xml:space="preserve">Toxicological Sciences, </w:t>
      </w:r>
      <w:r w:rsidRPr="00F23BCA">
        <w:rPr>
          <w:rFonts w:asciiTheme="minorEastAsia" w:eastAsiaTheme="minorEastAsia" w:hAnsiTheme="minorEastAsia" w:hint="eastAsia"/>
          <w:sz w:val="20"/>
          <w:szCs w:val="20"/>
          <w:lang w:eastAsia="ko-KR"/>
        </w:rPr>
        <w:t>vol. 123(1), pp. 264-280, 2011.</w:t>
      </w:r>
    </w:p>
    <w:p w14:paraId="0964445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69EA48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Montenegro, L. and G. Puglisi, “Evaluation of Sunscreen Safety by in Vitro Skin Permeation Studies: Effects of Vehicle Composition,” </w:t>
      </w:r>
      <w:r w:rsidRPr="00F23BCA">
        <w:rPr>
          <w:rFonts w:asciiTheme="minorEastAsia" w:eastAsiaTheme="minorEastAsia" w:hAnsiTheme="minorEastAsia" w:hint="eastAsia"/>
          <w:i/>
          <w:sz w:val="20"/>
          <w:szCs w:val="20"/>
          <w:lang w:eastAsia="ko-KR"/>
        </w:rPr>
        <w:t>Die Pharmazie</w:t>
      </w:r>
      <w:r w:rsidRPr="00F23BCA">
        <w:rPr>
          <w:rFonts w:asciiTheme="minorEastAsia" w:eastAsiaTheme="minorEastAsia" w:hAnsiTheme="minorEastAsia" w:hint="eastAsia"/>
          <w:sz w:val="20"/>
          <w:szCs w:val="20"/>
          <w:lang w:eastAsia="ko-KR"/>
        </w:rPr>
        <w:t>, vol. 68(1), pp. 34-40, 2013.</w:t>
      </w:r>
    </w:p>
    <w:p w14:paraId="6F1BCB7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8590240"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Montenegro, L., C. Carbone, D. Paolino, et al., “In Vitro Skin Permeation of Sunscreen Agents from O/W Emulsions,” </w:t>
      </w:r>
      <w:r w:rsidRPr="00F23BCA">
        <w:rPr>
          <w:rFonts w:asciiTheme="minorEastAsia" w:eastAsiaTheme="minorEastAsia" w:hAnsiTheme="minorEastAsia" w:hint="eastAsia"/>
          <w:i/>
          <w:sz w:val="20"/>
          <w:szCs w:val="20"/>
          <w:lang w:eastAsia="ko-KR"/>
        </w:rPr>
        <w:t>International Journal of Cosmetic Science</w:t>
      </w:r>
      <w:r w:rsidRPr="00F23BCA">
        <w:rPr>
          <w:rFonts w:asciiTheme="minorEastAsia" w:eastAsiaTheme="minorEastAsia" w:hAnsiTheme="minorEastAsia" w:hint="eastAsia"/>
          <w:sz w:val="20"/>
          <w:szCs w:val="20"/>
          <w:lang w:eastAsia="ko-KR"/>
        </w:rPr>
        <w:t>, vol. 30(1), pp. 57-65, 2008.</w:t>
      </w:r>
    </w:p>
    <w:p w14:paraId="29B8145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5F00A5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Montemarano, A., R. Gupta, J. Burge, et al., “Insect Repellents and the Efficacy of Sunscreens,”</w:t>
      </w:r>
    </w:p>
    <w:p w14:paraId="34C99E2C"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The Lancet</w:t>
      </w:r>
      <w:r w:rsidRPr="00F23BCA">
        <w:rPr>
          <w:rFonts w:asciiTheme="minorEastAsia" w:eastAsiaTheme="minorEastAsia" w:hAnsiTheme="minorEastAsia" w:hint="eastAsia"/>
          <w:sz w:val="20"/>
          <w:szCs w:val="20"/>
          <w:lang w:eastAsia="ko-KR"/>
        </w:rPr>
        <w:t>, vol. 349(9066), pp. 1670-1671, 1997.</w:t>
      </w:r>
    </w:p>
    <w:p w14:paraId="35C5CD6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065FD4E"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Mouret, S., C. Baudouin, M. Charveron, et al., “Cyclobutane Pyrimidine Dimers Are Predominant DNA Lesions in Whole Human Skin Exposed to UVA Radiation,” </w:t>
      </w:r>
      <w:r w:rsidRPr="00F23BCA">
        <w:rPr>
          <w:rFonts w:asciiTheme="minorEastAsia" w:eastAsiaTheme="minorEastAsia" w:hAnsiTheme="minorEastAsia" w:hint="eastAsia"/>
          <w:i/>
          <w:sz w:val="20"/>
          <w:szCs w:val="20"/>
          <w:lang w:eastAsia="ko-KR"/>
        </w:rPr>
        <w:t xml:space="preserve">Proceedings of the National Academies of Sciences of the United States of America, </w:t>
      </w:r>
      <w:r w:rsidRPr="00F23BCA">
        <w:rPr>
          <w:rFonts w:asciiTheme="minorEastAsia" w:eastAsiaTheme="minorEastAsia" w:hAnsiTheme="minorEastAsia" w:hint="eastAsia"/>
          <w:sz w:val="20"/>
          <w:szCs w:val="20"/>
          <w:lang w:eastAsia="ko-KR"/>
        </w:rPr>
        <w:t>vol. 103(37), pp. 13765- 13770, 2006.</w:t>
      </w:r>
    </w:p>
    <w:p w14:paraId="63B349B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020BE8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Nakamura, N., A.L. Inselman, G.A. White, et al., “Effects of Maternal and Lactational Exposure to 2-Hydroxy-4-Methoxybenzone on Development and Reproductive Organs in Male and</w:t>
      </w:r>
    </w:p>
    <w:p w14:paraId="333A850E" w14:textId="77777777" w:rsidR="00F23BCA" w:rsidRPr="00F23BCA" w:rsidRDefault="00F23BCA" w:rsidP="00F23BCA">
      <w:pPr>
        <w:jc w:val="both"/>
        <w:rPr>
          <w:rFonts w:asciiTheme="minorEastAsia" w:eastAsiaTheme="minorEastAsia" w:hAnsiTheme="minorEastAsia"/>
          <w:sz w:val="20"/>
          <w:szCs w:val="20"/>
          <w:lang w:eastAsia="ko-KR"/>
        </w:rPr>
      </w:pPr>
    </w:p>
    <w:p w14:paraId="670F4A84" w14:textId="77777777" w:rsidR="00F23BCA" w:rsidRPr="00F23BCA" w:rsidRDefault="00F23BCA" w:rsidP="00F23BCA">
      <w:pPr>
        <w:jc w:val="both"/>
        <w:rPr>
          <w:rFonts w:asciiTheme="minorEastAsia" w:eastAsiaTheme="minorEastAsia" w:hAnsiTheme="minorEastAsia"/>
          <w:sz w:val="20"/>
          <w:szCs w:val="20"/>
          <w:lang w:eastAsia="ko-KR"/>
        </w:rPr>
      </w:pPr>
    </w:p>
    <w:p w14:paraId="50AAA16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Female Rat Offspring,” </w:t>
      </w:r>
      <w:r w:rsidRPr="00F23BCA">
        <w:rPr>
          <w:rFonts w:asciiTheme="minorEastAsia" w:eastAsiaTheme="minorEastAsia" w:hAnsiTheme="minorEastAsia" w:hint="eastAsia"/>
          <w:i/>
          <w:sz w:val="20"/>
          <w:szCs w:val="20"/>
          <w:lang w:eastAsia="ko-KR"/>
        </w:rPr>
        <w:t>Birth Defects Research. Part B, Developmental and Reproductive Toxicology</w:t>
      </w:r>
      <w:r w:rsidRPr="00F23BCA">
        <w:rPr>
          <w:rFonts w:asciiTheme="minorEastAsia" w:eastAsiaTheme="minorEastAsia" w:hAnsiTheme="minorEastAsia" w:hint="eastAsia"/>
          <w:sz w:val="20"/>
          <w:szCs w:val="20"/>
          <w:lang w:eastAsia="ko-KR"/>
        </w:rPr>
        <w:t>, vol. 104(1), pp. 35-51, 2015.</w:t>
      </w:r>
    </w:p>
    <w:p w14:paraId="3CFE415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11D491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Nallagundla, S., S. Patnala, and I. Kanfer, “Comparison of In Vitro Release Rates of Acyclovir from Cream Formulations Using Vertical Diffusion Cells,” </w:t>
      </w:r>
      <w:r w:rsidRPr="00F23BCA">
        <w:rPr>
          <w:rFonts w:asciiTheme="minorEastAsia" w:eastAsiaTheme="minorEastAsia" w:hAnsiTheme="minorEastAsia" w:hint="eastAsia"/>
          <w:i/>
          <w:sz w:val="20"/>
          <w:szCs w:val="20"/>
          <w:lang w:eastAsia="ko-KR"/>
        </w:rPr>
        <w:t>AAPS PharmSciTech</w:t>
      </w:r>
      <w:r w:rsidRPr="00F23BCA">
        <w:rPr>
          <w:rFonts w:asciiTheme="minorEastAsia" w:eastAsiaTheme="minorEastAsia" w:hAnsiTheme="minorEastAsia" w:hint="eastAsia"/>
          <w:sz w:val="20"/>
          <w:szCs w:val="20"/>
          <w:lang w:eastAsia="ko-KR"/>
        </w:rPr>
        <w:t>, vol. 15(4), pp. 994-999, 2014.</w:t>
      </w:r>
    </w:p>
    <w:p w14:paraId="5B8926A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79CE32F"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Nash, J.F., and P.R. Tanner, “Relevance of UV Filter/Sunscreen Product Photostability to Human Safety,” </w:t>
      </w:r>
      <w:r w:rsidRPr="00F23BCA">
        <w:rPr>
          <w:rFonts w:asciiTheme="minorEastAsia" w:eastAsiaTheme="minorEastAsia" w:hAnsiTheme="minorEastAsia" w:hint="eastAsia"/>
          <w:i/>
          <w:sz w:val="20"/>
          <w:szCs w:val="20"/>
          <w:lang w:eastAsia="ko-KR"/>
        </w:rPr>
        <w:t>Photodermatology, Photoimmunology and Photomedicine</w:t>
      </w:r>
      <w:r w:rsidRPr="00F23BCA">
        <w:rPr>
          <w:rFonts w:asciiTheme="minorEastAsia" w:eastAsiaTheme="minorEastAsia" w:hAnsiTheme="minorEastAsia" w:hint="eastAsia"/>
          <w:sz w:val="20"/>
          <w:szCs w:val="20"/>
          <w:lang w:eastAsia="ko-KR"/>
        </w:rPr>
        <w:t>, vol. 30(2-3), pp. 88- 95, 2014.</w:t>
      </w:r>
    </w:p>
    <w:p w14:paraId="18C4537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EC2204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*National Cancer Institute, “Cancer Trends Progress Report,” February 2018 (available at </w:t>
      </w:r>
      <w:hyperlink r:id="rId92">
        <w:r w:rsidRPr="00F23BCA">
          <w:rPr>
            <w:rFonts w:asciiTheme="minorEastAsia" w:eastAsiaTheme="minorEastAsia" w:hAnsiTheme="minorEastAsia" w:hint="eastAsia"/>
            <w:color w:val="0563C1"/>
            <w:sz w:val="20"/>
            <w:szCs w:val="20"/>
            <w:u w:val="single" w:color="0563C1"/>
            <w:lang w:eastAsia="ko-KR"/>
          </w:rPr>
          <w:t>https://progressreport.cancer.gov</w:t>
        </w:r>
      </w:hyperlink>
      <w:r w:rsidRPr="00F23BCA">
        <w:rPr>
          <w:rFonts w:asciiTheme="minorEastAsia" w:eastAsiaTheme="minorEastAsia" w:hAnsiTheme="minorEastAsia" w:hint="eastAsia"/>
          <w:sz w:val="20"/>
          <w:szCs w:val="20"/>
          <w:lang w:eastAsia="ko-KR"/>
        </w:rPr>
        <w:t>), accessed May 25, 2021.</w:t>
      </w:r>
    </w:p>
    <w:p w14:paraId="385DBBF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F00704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*National Science and Technology Council Committee on Technology, “The National Nanotechnology Initiative Strategic Plan,” February 2014 (available at </w:t>
      </w:r>
      <w:hyperlink r:id="rId93">
        <w:r w:rsidRPr="00F23BCA">
          <w:rPr>
            <w:rFonts w:asciiTheme="minorEastAsia" w:eastAsiaTheme="minorEastAsia" w:hAnsiTheme="minorEastAsia" w:hint="eastAsia"/>
            <w:color w:val="0563C1"/>
            <w:sz w:val="20"/>
            <w:szCs w:val="20"/>
            <w:u w:val="single" w:color="0563C1"/>
            <w:lang w:eastAsia="ko-KR"/>
          </w:rPr>
          <w:t>http://www.nano.gov/sites/default/files/pub_resource/2014_nni_strategic_plan.pdf</w:t>
        </w:r>
      </w:hyperlink>
      <w:r w:rsidRPr="00F23BCA">
        <w:rPr>
          <w:rFonts w:asciiTheme="minorEastAsia" w:eastAsiaTheme="minorEastAsia" w:hAnsiTheme="minorEastAsia" w:hint="eastAsia"/>
          <w:sz w:val="20"/>
          <w:szCs w:val="20"/>
          <w:lang w:eastAsia="ko-KR"/>
        </w:rPr>
        <w:t>), accessed May 25, 20221.</w:t>
      </w:r>
    </w:p>
    <w:p w14:paraId="4EDF6E0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C8D5C5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*National Toxicology Program, “Nomination Summary for 2-Hydroxy-4-methoxybenzophenone (N79456),” 1979 (available at </w:t>
      </w:r>
      <w:hyperlink r:id="rId94">
        <w:r w:rsidRPr="00F23BCA">
          <w:rPr>
            <w:rFonts w:asciiTheme="minorEastAsia" w:eastAsiaTheme="minorEastAsia" w:hAnsiTheme="minorEastAsia" w:hint="eastAsia"/>
            <w:color w:val="0563C1"/>
            <w:sz w:val="20"/>
            <w:szCs w:val="20"/>
            <w:u w:val="single" w:color="0563C1"/>
            <w:lang w:eastAsia="ko-KR"/>
          </w:rPr>
          <w:t>https://ntp.niehs.nih.gov/testing/noms/search/summary/nm-</w:t>
        </w:r>
      </w:hyperlink>
      <w:r w:rsidRPr="00F23BCA">
        <w:rPr>
          <w:rFonts w:asciiTheme="minorEastAsia" w:eastAsiaTheme="minorEastAsia" w:hAnsiTheme="minorEastAsia" w:hint="eastAsia"/>
          <w:color w:val="0563C1"/>
          <w:sz w:val="20"/>
          <w:szCs w:val="20"/>
          <w:lang w:eastAsia="ko-KR"/>
        </w:rPr>
        <w:t xml:space="preserve"> </w:t>
      </w:r>
      <w:hyperlink r:id="rId95">
        <w:r w:rsidRPr="00F23BCA">
          <w:rPr>
            <w:rFonts w:asciiTheme="minorEastAsia" w:eastAsiaTheme="minorEastAsia" w:hAnsiTheme="minorEastAsia" w:hint="eastAsia"/>
            <w:color w:val="0563C1"/>
            <w:sz w:val="20"/>
            <w:szCs w:val="20"/>
            <w:u w:val="single" w:color="0563C1"/>
            <w:lang w:eastAsia="ko-KR"/>
          </w:rPr>
          <w:t>n79456.html</w:t>
        </w:r>
      </w:hyperlink>
      <w:r w:rsidRPr="00F23BCA">
        <w:rPr>
          <w:rFonts w:asciiTheme="minorEastAsia" w:eastAsiaTheme="minorEastAsia" w:hAnsiTheme="minorEastAsia" w:hint="eastAsia"/>
          <w:sz w:val="20"/>
          <w:szCs w:val="20"/>
          <w:lang w:eastAsia="ko-KR"/>
        </w:rPr>
        <w:t>), accessed May 26, 2021.</w:t>
      </w:r>
    </w:p>
    <w:p w14:paraId="061D106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40A6D3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*National Toxicology Program, NTP Technical Report 518, “Toxicology and Carcinogenesis Studies of Triethanolamine in B6C3F1 Mice (Dermal Study),” May 2004 (available at </w:t>
      </w:r>
      <w:hyperlink r:id="rId96">
        <w:r w:rsidRPr="00F23BCA">
          <w:rPr>
            <w:rFonts w:asciiTheme="minorEastAsia" w:eastAsiaTheme="minorEastAsia" w:hAnsiTheme="minorEastAsia" w:hint="eastAsia"/>
            <w:color w:val="0563C1"/>
            <w:sz w:val="20"/>
            <w:szCs w:val="20"/>
            <w:u w:val="single" w:color="0563C1"/>
            <w:lang w:eastAsia="ko-KR"/>
          </w:rPr>
          <w:t>https://ntp.niehs.nih.gov/ntp/htdocs/lt_rpts/tr518.pdf</w:t>
        </w:r>
      </w:hyperlink>
      <w:r w:rsidRPr="00F23BCA">
        <w:rPr>
          <w:rFonts w:asciiTheme="minorEastAsia" w:eastAsiaTheme="minorEastAsia" w:hAnsiTheme="minorEastAsia" w:hint="eastAsia"/>
          <w:sz w:val="20"/>
          <w:szCs w:val="20"/>
          <w:lang w:eastAsia="ko-KR"/>
        </w:rPr>
        <w:t>), accessed May 26, 2021.</w:t>
      </w:r>
    </w:p>
    <w:p w14:paraId="3F0CF39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EE966B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*National Toxicology Program, Technical Report 449, “Toxicology and Carcinogenesis Studies of Triethanolamine in F344/N Rats and B6C3F1 Mice (Dermal Studies),” November 1999, (available at </w:t>
      </w:r>
      <w:hyperlink r:id="rId97">
        <w:r w:rsidRPr="00F23BCA">
          <w:rPr>
            <w:rFonts w:asciiTheme="minorEastAsia" w:eastAsiaTheme="minorEastAsia" w:hAnsiTheme="minorEastAsia" w:hint="eastAsia"/>
            <w:color w:val="0563C1"/>
            <w:sz w:val="20"/>
            <w:szCs w:val="20"/>
            <w:u w:val="single" w:color="0563C1"/>
            <w:lang w:eastAsia="ko-KR"/>
          </w:rPr>
          <w:t>https://ntp.niehs.nih.gov/ntp/htdocs/lt_rpts/tr449.pdf</w:t>
        </w:r>
      </w:hyperlink>
      <w:r w:rsidRPr="00F23BCA">
        <w:rPr>
          <w:rFonts w:asciiTheme="minorEastAsia" w:eastAsiaTheme="minorEastAsia" w:hAnsiTheme="minorEastAsia" w:hint="eastAsia"/>
          <w:sz w:val="20"/>
          <w:szCs w:val="20"/>
          <w:lang w:eastAsia="ko-KR"/>
        </w:rPr>
        <w:t>), accessed May 26, 2021.</w:t>
      </w:r>
    </w:p>
    <w:p w14:paraId="0B16F85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B41E45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*National Toxicology Program, “Testing Status of 2-Hydroxy-4-methoxybenzophenone 10260- S” (available at </w:t>
      </w:r>
      <w:hyperlink r:id="rId98">
        <w:r w:rsidRPr="00F23BCA">
          <w:rPr>
            <w:rFonts w:asciiTheme="minorEastAsia" w:eastAsiaTheme="minorEastAsia" w:hAnsiTheme="minorEastAsia" w:hint="eastAsia"/>
            <w:color w:val="0563C1"/>
            <w:sz w:val="20"/>
            <w:szCs w:val="20"/>
            <w:u w:val="single" w:color="0563C1"/>
            <w:lang w:eastAsia="ko-KR"/>
          </w:rPr>
          <w:t>https://ntp.niehs.nih.gov/testing/status/agents/ts-10260-s.html</w:t>
        </w:r>
      </w:hyperlink>
      <w:r w:rsidRPr="00F23BCA">
        <w:rPr>
          <w:rFonts w:asciiTheme="minorEastAsia" w:eastAsiaTheme="minorEastAsia" w:hAnsiTheme="minorEastAsia" w:hint="eastAsia"/>
          <w:sz w:val="20"/>
          <w:szCs w:val="20"/>
          <w:lang w:eastAsia="ko-KR"/>
        </w:rPr>
        <w:t>), accessed May 26, 2021.</w:t>
      </w:r>
    </w:p>
    <w:p w14:paraId="79E2BDEA"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A9CBD1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Ng, S.F., J.J. Rouse, F.D. Sanderson, et al., “Validation of a Static Franz Diffusion Cell System for In Vitro Permeation Studies,” </w:t>
      </w:r>
      <w:r w:rsidRPr="00F23BCA">
        <w:rPr>
          <w:rFonts w:asciiTheme="minorEastAsia" w:eastAsiaTheme="minorEastAsia" w:hAnsiTheme="minorEastAsia" w:hint="eastAsia"/>
          <w:i/>
          <w:sz w:val="20"/>
          <w:szCs w:val="20"/>
          <w:lang w:eastAsia="ko-KR"/>
        </w:rPr>
        <w:t>AAPS PharmSciTech</w:t>
      </w:r>
      <w:r w:rsidRPr="00F23BCA">
        <w:rPr>
          <w:rFonts w:asciiTheme="minorEastAsia" w:eastAsiaTheme="minorEastAsia" w:hAnsiTheme="minorEastAsia" w:hint="eastAsia"/>
          <w:sz w:val="20"/>
          <w:szCs w:val="20"/>
          <w:lang w:eastAsia="ko-KR"/>
        </w:rPr>
        <w:t>, vol. 11(3), pp. 1432-1441, 2010.</w:t>
      </w:r>
    </w:p>
    <w:p w14:paraId="3A0DB67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B1D36F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Noonan, F.P., M.R. Zaidi, A. Wolnicka-Glubisz, et al., “Melanoma Induction by Ultraviolet A but Not Ultraviolet B Radiation Requires Melanin Pigment,” </w:t>
      </w:r>
      <w:r w:rsidRPr="00F23BCA">
        <w:rPr>
          <w:rFonts w:asciiTheme="minorEastAsia" w:eastAsiaTheme="minorEastAsia" w:hAnsiTheme="minorEastAsia" w:hint="eastAsia"/>
          <w:i/>
          <w:sz w:val="20"/>
          <w:szCs w:val="20"/>
          <w:lang w:eastAsia="ko-KR"/>
        </w:rPr>
        <w:t xml:space="preserve">Nature Communications, </w:t>
      </w:r>
      <w:r w:rsidRPr="00F23BCA">
        <w:rPr>
          <w:rFonts w:asciiTheme="minorEastAsia" w:eastAsiaTheme="minorEastAsia" w:hAnsiTheme="minorEastAsia" w:hint="eastAsia"/>
          <w:sz w:val="20"/>
          <w:szCs w:val="20"/>
          <w:lang w:eastAsia="ko-KR"/>
        </w:rPr>
        <w:t>vol. 3, pp. 884, 2012.</w:t>
      </w:r>
    </w:p>
    <w:p w14:paraId="6AD3604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A20570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Palm, M.D. and M.N. O’Donoghue, “Update on Photoprotection,” </w:t>
      </w:r>
      <w:r w:rsidRPr="00F23BCA">
        <w:rPr>
          <w:rFonts w:asciiTheme="minorEastAsia" w:eastAsiaTheme="minorEastAsia" w:hAnsiTheme="minorEastAsia" w:hint="eastAsia"/>
          <w:i/>
          <w:sz w:val="20"/>
          <w:szCs w:val="20"/>
          <w:lang w:eastAsia="ko-KR"/>
        </w:rPr>
        <w:t>Dermatologic Therapy</w:t>
      </w:r>
      <w:r w:rsidRPr="00F23BCA">
        <w:rPr>
          <w:rFonts w:asciiTheme="minorEastAsia" w:eastAsiaTheme="minorEastAsia" w:hAnsiTheme="minorEastAsia" w:hint="eastAsia"/>
          <w:sz w:val="20"/>
          <w:szCs w:val="20"/>
          <w:lang w:eastAsia="ko-KR"/>
        </w:rPr>
        <w:t>, vol. 25(5), pp. 360-376, 2007.</w:t>
      </w:r>
    </w:p>
    <w:p w14:paraId="55B6C6F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FFBA00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Pastore, M.N., Y.N. Kalia, M. Horstmann, et al., “Transdermal Patches: History, Development and Pharmacology,” </w:t>
      </w:r>
      <w:r w:rsidRPr="00F23BCA">
        <w:rPr>
          <w:rFonts w:asciiTheme="minorEastAsia" w:eastAsiaTheme="minorEastAsia" w:hAnsiTheme="minorEastAsia" w:hint="eastAsia"/>
          <w:i/>
          <w:sz w:val="20"/>
          <w:szCs w:val="20"/>
          <w:lang w:eastAsia="ko-KR"/>
        </w:rPr>
        <w:t>British Journal of Pharmacology</w:t>
      </w:r>
      <w:r w:rsidRPr="00F23BCA">
        <w:rPr>
          <w:rFonts w:asciiTheme="minorEastAsia" w:eastAsiaTheme="minorEastAsia" w:hAnsiTheme="minorEastAsia" w:hint="eastAsia"/>
          <w:sz w:val="20"/>
          <w:szCs w:val="20"/>
          <w:lang w:eastAsia="ko-KR"/>
        </w:rPr>
        <w:t>, vol. 172(9), pp. 2179-2209, 2015.</w:t>
      </w:r>
    </w:p>
    <w:p w14:paraId="53375CD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DF1DA09"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Pathak, M.A., “Sunscreens: Topical and Systemic Approaches for Protection of Human Skin against Harmful Effects of Solar Radiation,”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 7(3), pp. 285-312, 1982.</w:t>
      </w:r>
    </w:p>
    <w:p w14:paraId="12463FA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C04758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Pflucker, F., V. Wendel, H. Hohenberg, et al., “The Human Stratum Corneum Layer: An Effective Barrier against Dermal Uptake of Different Forms of Topically Applied Micronised Titanium Dioxide,” </w:t>
      </w:r>
      <w:r w:rsidRPr="00F23BCA">
        <w:rPr>
          <w:rFonts w:asciiTheme="minorEastAsia" w:eastAsiaTheme="minorEastAsia" w:hAnsiTheme="minorEastAsia" w:hint="eastAsia"/>
          <w:i/>
          <w:sz w:val="20"/>
          <w:szCs w:val="20"/>
          <w:lang w:eastAsia="ko-KR"/>
        </w:rPr>
        <w:t xml:space="preserve">Skin Pharmacology and Applied Skin Physiology, </w:t>
      </w:r>
      <w:r w:rsidRPr="00F23BCA">
        <w:rPr>
          <w:rFonts w:asciiTheme="minorEastAsia" w:eastAsiaTheme="minorEastAsia" w:hAnsiTheme="minorEastAsia" w:hint="eastAsia"/>
          <w:sz w:val="20"/>
          <w:szCs w:val="20"/>
          <w:lang w:eastAsia="ko-KR"/>
        </w:rPr>
        <w:t>vol. 14 Suppl 1, pp. 92-97, 2001.</w:t>
      </w:r>
    </w:p>
    <w:p w14:paraId="421CCA8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5926FC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Plum, L.M., L. Rink, and H. Haase, “The Essential Toxin: Impact of Zinc on Human Health,” </w:t>
      </w:r>
      <w:r w:rsidRPr="00F23BCA">
        <w:rPr>
          <w:rFonts w:asciiTheme="minorEastAsia" w:eastAsiaTheme="minorEastAsia" w:hAnsiTheme="minorEastAsia" w:hint="eastAsia"/>
          <w:i/>
          <w:sz w:val="20"/>
          <w:szCs w:val="20"/>
          <w:lang w:eastAsia="ko-KR"/>
        </w:rPr>
        <w:t xml:space="preserve">International Journal of Environmental Research and Public Health, </w:t>
      </w:r>
      <w:r w:rsidRPr="00F23BCA">
        <w:rPr>
          <w:rFonts w:asciiTheme="minorEastAsia" w:eastAsiaTheme="minorEastAsia" w:hAnsiTheme="minorEastAsia" w:hint="eastAsia"/>
          <w:sz w:val="20"/>
          <w:szCs w:val="20"/>
          <w:lang w:eastAsia="ko-KR"/>
        </w:rPr>
        <w:t>vol. 7(4), pp. 1342-1365, 2010.</w:t>
      </w:r>
    </w:p>
    <w:p w14:paraId="3DD67A0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81572B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Potard, G., C. Laugel, H. Schaefer, et al., “The Stripping Technique: In Vitro Absorption and Penetration of Five UV Filters on Excised Fresh Human Skin,” </w:t>
      </w:r>
      <w:r w:rsidRPr="00F23BCA">
        <w:rPr>
          <w:rFonts w:asciiTheme="minorEastAsia" w:eastAsiaTheme="minorEastAsia" w:hAnsiTheme="minorEastAsia" w:hint="eastAsia"/>
          <w:i/>
          <w:sz w:val="20"/>
          <w:szCs w:val="20"/>
          <w:lang w:eastAsia="ko-KR"/>
        </w:rPr>
        <w:t>Skin Pharmacology and Applied Skin Physiology</w:t>
      </w:r>
      <w:r w:rsidRPr="00F23BCA">
        <w:rPr>
          <w:rFonts w:asciiTheme="minorEastAsia" w:eastAsiaTheme="minorEastAsia" w:hAnsiTheme="minorEastAsia" w:hint="eastAsia"/>
          <w:sz w:val="20"/>
          <w:szCs w:val="20"/>
          <w:lang w:eastAsia="ko-KR"/>
        </w:rPr>
        <w:t>, vol. 13(6), pp. 336-344, 2000.</w:t>
      </w:r>
    </w:p>
    <w:p w14:paraId="19DE5AC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24C5F2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val="fr-FR" w:eastAsia="ko-KR"/>
        </w:rPr>
        <w:t xml:space="preserve">Premi, S., S. Wallisch, C.M. Mano, et al., “Photochemistry. </w:t>
      </w:r>
      <w:r w:rsidRPr="00F23BCA">
        <w:rPr>
          <w:rFonts w:asciiTheme="minorEastAsia" w:eastAsiaTheme="minorEastAsia" w:hAnsiTheme="minorEastAsia" w:hint="eastAsia"/>
          <w:sz w:val="20"/>
          <w:szCs w:val="20"/>
          <w:lang w:eastAsia="ko-KR"/>
        </w:rPr>
        <w:t xml:space="preserve">Chemiexcitation of Melanin Derivatives Induces DNA Photoproducts Long after UV Exposure,” </w:t>
      </w:r>
      <w:r w:rsidRPr="00F23BCA">
        <w:rPr>
          <w:rFonts w:asciiTheme="minorEastAsia" w:eastAsiaTheme="minorEastAsia" w:hAnsiTheme="minorEastAsia" w:hint="eastAsia"/>
          <w:i/>
          <w:sz w:val="20"/>
          <w:szCs w:val="20"/>
          <w:lang w:eastAsia="ko-KR"/>
        </w:rPr>
        <w:t xml:space="preserve">Science, </w:t>
      </w:r>
      <w:r w:rsidRPr="00F23BCA">
        <w:rPr>
          <w:rFonts w:asciiTheme="minorEastAsia" w:eastAsiaTheme="minorEastAsia" w:hAnsiTheme="minorEastAsia" w:hint="eastAsia"/>
          <w:sz w:val="20"/>
          <w:szCs w:val="20"/>
          <w:lang w:eastAsia="ko-KR"/>
        </w:rPr>
        <w:t>vol. 347(6224), pp. 842-847, 2015.</w:t>
      </w:r>
    </w:p>
    <w:p w14:paraId="46EB281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66EF5A5"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Raney, S., P. Lehman, and T. Franz, “30th Anniversary of the Franz Cell Finite Dose Model: The Crystal Ball of Topical Drug Development,” </w:t>
      </w:r>
      <w:r w:rsidRPr="00F23BCA">
        <w:rPr>
          <w:rFonts w:asciiTheme="minorEastAsia" w:eastAsiaTheme="minorEastAsia" w:hAnsiTheme="minorEastAsia" w:hint="eastAsia"/>
          <w:i/>
          <w:sz w:val="20"/>
          <w:szCs w:val="20"/>
          <w:lang w:eastAsia="ko-KR"/>
        </w:rPr>
        <w:t>Journal of Drug Delivery Science and Technology</w:t>
      </w:r>
      <w:r w:rsidRPr="00F23BCA">
        <w:rPr>
          <w:rFonts w:asciiTheme="minorEastAsia" w:eastAsiaTheme="minorEastAsia" w:hAnsiTheme="minorEastAsia" w:hint="eastAsia"/>
          <w:sz w:val="20"/>
          <w:szCs w:val="20"/>
          <w:lang w:eastAsia="ko-KR"/>
        </w:rPr>
        <w:t>, vol. 8(7), pp. 32-37, 2008.</w:t>
      </w:r>
    </w:p>
    <w:p w14:paraId="29D2974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F016A10"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Ridley, A.J., J.R. Whiteside, T.J. McMillan, et al., “Cellular and Sub-Cellular Responses to UVA in Relation to Carcinogenesis,” </w:t>
      </w:r>
      <w:r w:rsidRPr="00F23BCA">
        <w:rPr>
          <w:rFonts w:asciiTheme="minorEastAsia" w:eastAsiaTheme="minorEastAsia" w:hAnsiTheme="minorEastAsia" w:hint="eastAsia"/>
          <w:i/>
          <w:sz w:val="20"/>
          <w:szCs w:val="20"/>
          <w:lang w:eastAsia="ko-KR"/>
        </w:rPr>
        <w:t xml:space="preserve">International Journal of Radiation Biology, </w:t>
      </w:r>
      <w:r w:rsidRPr="00F23BCA">
        <w:rPr>
          <w:rFonts w:asciiTheme="minorEastAsia" w:eastAsiaTheme="minorEastAsia" w:hAnsiTheme="minorEastAsia" w:hint="eastAsia"/>
          <w:sz w:val="20"/>
          <w:szCs w:val="20"/>
          <w:lang w:eastAsia="ko-KR"/>
        </w:rPr>
        <w:t>vol. 85(3), pp. 177- 195, 2009.</w:t>
      </w:r>
    </w:p>
    <w:p w14:paraId="444EAC4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934BA3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Rodriguez, E., M.C. Valbuena, M. Rey, et al., “Causal Agents of Photoallergic Contact Dermatitis Diagnosed in the National Institute of Dermatology of Colombia,” </w:t>
      </w:r>
      <w:r w:rsidRPr="00F23BCA">
        <w:rPr>
          <w:rFonts w:asciiTheme="minorEastAsia" w:eastAsiaTheme="minorEastAsia" w:hAnsiTheme="minorEastAsia" w:hint="eastAsia"/>
          <w:i/>
          <w:sz w:val="20"/>
          <w:szCs w:val="20"/>
          <w:lang w:eastAsia="ko-KR"/>
        </w:rPr>
        <w:t>Photodermatology, Photoimmunology and Photomedicine</w:t>
      </w:r>
      <w:r w:rsidRPr="00F23BCA">
        <w:rPr>
          <w:rFonts w:asciiTheme="minorEastAsia" w:eastAsiaTheme="minorEastAsia" w:hAnsiTheme="minorEastAsia" w:hint="eastAsia"/>
          <w:sz w:val="20"/>
          <w:szCs w:val="20"/>
          <w:lang w:eastAsia="ko-KR"/>
        </w:rPr>
        <w:t>, vol. 22(4), pp. 189-192, 2006.</w:t>
      </w:r>
    </w:p>
    <w:p w14:paraId="16D8012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7B1321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Rose, F.A. and D.R. Wiemer, “Platelet Coagulopathy Secondary to Topical Salicylate Use,”</w:t>
      </w:r>
    </w:p>
    <w:p w14:paraId="63DAD4DF"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 xml:space="preserve">Annals of Plastic Surgery, </w:t>
      </w:r>
      <w:r w:rsidRPr="00F23BCA">
        <w:rPr>
          <w:rFonts w:asciiTheme="minorEastAsia" w:eastAsiaTheme="minorEastAsia" w:hAnsiTheme="minorEastAsia" w:hint="eastAsia"/>
          <w:sz w:val="20"/>
          <w:szCs w:val="20"/>
          <w:lang w:eastAsia="ko-KR"/>
        </w:rPr>
        <w:t>vol. 11(4), pp. 340-343, 1983.</w:t>
      </w:r>
    </w:p>
    <w:p w14:paraId="5D25646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E8A754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Ross, E.A., K.A. Savage, L.J. Utley, et al., “Insect Repellant Interactions: Sunscreens Enhance DEET (</w:t>
      </w:r>
      <w:proofErr w:type="gramStart"/>
      <w:r w:rsidRPr="00F23BCA">
        <w:rPr>
          <w:rFonts w:asciiTheme="minorEastAsia" w:eastAsiaTheme="minorEastAsia" w:hAnsiTheme="minorEastAsia" w:hint="eastAsia"/>
          <w:sz w:val="20"/>
          <w:szCs w:val="20"/>
          <w:lang w:eastAsia="ko-KR"/>
        </w:rPr>
        <w:t>N,N</w:t>
      </w:r>
      <w:proofErr w:type="gramEnd"/>
      <w:r w:rsidRPr="00F23BCA">
        <w:rPr>
          <w:rFonts w:asciiTheme="minorEastAsia" w:eastAsiaTheme="minorEastAsia" w:hAnsiTheme="minorEastAsia" w:hint="eastAsia"/>
          <w:sz w:val="20"/>
          <w:szCs w:val="20"/>
          <w:lang w:eastAsia="ko-KR"/>
        </w:rPr>
        <w:t xml:space="preserve">-Diethyl-M-Toluamide) Absorption,” </w:t>
      </w:r>
      <w:r w:rsidRPr="00F23BCA">
        <w:rPr>
          <w:rFonts w:asciiTheme="minorEastAsia" w:eastAsiaTheme="minorEastAsia" w:hAnsiTheme="minorEastAsia" w:hint="eastAsia"/>
          <w:i/>
          <w:sz w:val="20"/>
          <w:szCs w:val="20"/>
          <w:lang w:eastAsia="ko-KR"/>
        </w:rPr>
        <w:t>Drug Metabolism and Disposition</w:t>
      </w:r>
      <w:r w:rsidRPr="00F23BCA">
        <w:rPr>
          <w:rFonts w:asciiTheme="minorEastAsia" w:eastAsiaTheme="minorEastAsia" w:hAnsiTheme="minorEastAsia" w:hint="eastAsia"/>
          <w:sz w:val="20"/>
          <w:szCs w:val="20"/>
          <w:lang w:eastAsia="ko-KR"/>
        </w:rPr>
        <w:t>, vol. 32, pp.783-785, 2004.</w:t>
      </w:r>
    </w:p>
    <w:p w14:paraId="20C1E9C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A33428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Rothe, H., R. Fautz, E. Gerber, et al., “Special Aspects of Cosmetic Spray Safety Evaluations: Principles on Inhalation Risk Assessment,” </w:t>
      </w:r>
      <w:r w:rsidRPr="00F23BCA">
        <w:rPr>
          <w:rFonts w:asciiTheme="minorEastAsia" w:eastAsiaTheme="minorEastAsia" w:hAnsiTheme="minorEastAsia" w:hint="eastAsia"/>
          <w:i/>
          <w:sz w:val="20"/>
          <w:szCs w:val="20"/>
          <w:lang w:eastAsia="ko-KR"/>
        </w:rPr>
        <w:t>Toxicology Letters</w:t>
      </w:r>
      <w:r w:rsidRPr="00F23BCA">
        <w:rPr>
          <w:rFonts w:asciiTheme="minorEastAsia" w:eastAsiaTheme="minorEastAsia" w:hAnsiTheme="minorEastAsia" w:hint="eastAsia"/>
          <w:sz w:val="20"/>
          <w:szCs w:val="20"/>
          <w:lang w:eastAsia="ko-KR"/>
        </w:rPr>
        <w:t>, vol. 205(2), pp. 97-104, 2011.</w:t>
      </w:r>
    </w:p>
    <w:p w14:paraId="2B8CF65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9D3164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Ryu, H.J., M.Y. Seo, S.K. Jung, et al., “Zinc Oxide Nanoparticles: A 90-Day Repeated-Dose Dermal Toxicity Study in Rats,” </w:t>
      </w:r>
      <w:r w:rsidRPr="00F23BCA">
        <w:rPr>
          <w:rFonts w:asciiTheme="minorEastAsia" w:eastAsiaTheme="minorEastAsia" w:hAnsiTheme="minorEastAsia" w:hint="eastAsia"/>
          <w:i/>
          <w:sz w:val="20"/>
          <w:szCs w:val="20"/>
          <w:lang w:eastAsia="ko-KR"/>
        </w:rPr>
        <w:t xml:space="preserve">International Journal of Nanomedicine, </w:t>
      </w:r>
      <w:r w:rsidRPr="00F23BCA">
        <w:rPr>
          <w:rFonts w:asciiTheme="minorEastAsia" w:eastAsiaTheme="minorEastAsia" w:hAnsiTheme="minorEastAsia" w:hint="eastAsia"/>
          <w:sz w:val="20"/>
          <w:szCs w:val="20"/>
          <w:lang w:eastAsia="ko-KR"/>
        </w:rPr>
        <w:t>vol. 9 Suppl 2, pp. 137- 144, 2014.</w:t>
      </w:r>
    </w:p>
    <w:p w14:paraId="120ACE9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3A3D85C"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Sadrieh, N., A.M. Wokovich, N.V. Gopee, et al., “Lack of Significant Dermal Penetration of Titanium Dioxide from Sunscreen Formulations Containing Nano- and Submicron-Size Tio2 Particles,” </w:t>
      </w:r>
      <w:r w:rsidRPr="00F23BCA">
        <w:rPr>
          <w:rFonts w:asciiTheme="minorEastAsia" w:eastAsiaTheme="minorEastAsia" w:hAnsiTheme="minorEastAsia" w:hint="eastAsia"/>
          <w:i/>
          <w:sz w:val="20"/>
          <w:szCs w:val="20"/>
          <w:lang w:eastAsia="ko-KR"/>
        </w:rPr>
        <w:t xml:space="preserve">Toxicological Sciences, </w:t>
      </w:r>
      <w:r w:rsidRPr="00F23BCA">
        <w:rPr>
          <w:rFonts w:asciiTheme="minorEastAsia" w:eastAsiaTheme="minorEastAsia" w:hAnsiTheme="minorEastAsia" w:hint="eastAsia"/>
          <w:sz w:val="20"/>
          <w:szCs w:val="20"/>
          <w:lang w:eastAsia="ko-KR"/>
        </w:rPr>
        <w:t>vol. 115(1), pp. 156-166, 2010.</w:t>
      </w:r>
    </w:p>
    <w:p w14:paraId="7FB01E0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27D063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Samman, S. “Zinc.” J.I. Mann and A.S. Truswell, editors, </w:t>
      </w:r>
      <w:r w:rsidRPr="00F23BCA">
        <w:rPr>
          <w:rFonts w:asciiTheme="minorEastAsia" w:eastAsiaTheme="minorEastAsia" w:hAnsiTheme="minorEastAsia" w:hint="eastAsia"/>
          <w:i/>
          <w:sz w:val="20"/>
          <w:szCs w:val="20"/>
          <w:lang w:eastAsia="ko-KR"/>
        </w:rPr>
        <w:t>Essentials of Human Nutrition</w:t>
      </w:r>
      <w:r w:rsidRPr="00F23BCA">
        <w:rPr>
          <w:rFonts w:asciiTheme="minorEastAsia" w:eastAsiaTheme="minorEastAsia" w:hAnsiTheme="minorEastAsia" w:hint="eastAsia"/>
          <w:sz w:val="20"/>
          <w:szCs w:val="20"/>
          <w:lang w:eastAsia="ko-KR"/>
        </w:rPr>
        <w:t>, 3rd ed., Oxford: Oxford University Press, pp. 138-142, 2007.</w:t>
      </w:r>
    </w:p>
    <w:p w14:paraId="3164B98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02D9349"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Sandstead, H.H., “Zinc.” B.A. Fowler and M. Nordberg, editors, </w:t>
      </w:r>
      <w:r w:rsidRPr="00F23BCA">
        <w:rPr>
          <w:rFonts w:asciiTheme="minorEastAsia" w:eastAsiaTheme="minorEastAsia" w:hAnsiTheme="minorEastAsia" w:hint="eastAsia"/>
          <w:i/>
          <w:sz w:val="20"/>
          <w:szCs w:val="20"/>
          <w:lang w:eastAsia="ko-KR"/>
        </w:rPr>
        <w:t>Handbook on the Toxicology of Metals (Fourth Edition)</w:t>
      </w:r>
      <w:r w:rsidRPr="00F23BCA">
        <w:rPr>
          <w:rFonts w:asciiTheme="minorEastAsia" w:eastAsiaTheme="minorEastAsia" w:hAnsiTheme="minorEastAsia" w:hint="eastAsia"/>
          <w:sz w:val="20"/>
          <w:szCs w:val="20"/>
          <w:lang w:eastAsia="ko-KR"/>
        </w:rPr>
        <w:t>, San Diego: Academic Press, 2015: 1369-1385.</w:t>
      </w:r>
    </w:p>
    <w:p w14:paraId="6F780FF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C0861C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Santos, P., A.C. Watkinson, J. Hadgraft, et al., “Influence of Penetration Enhancer on Drug Permeation from Volatile Formulations,” </w:t>
      </w:r>
      <w:r w:rsidRPr="00F23BCA">
        <w:rPr>
          <w:rFonts w:asciiTheme="minorEastAsia" w:eastAsiaTheme="minorEastAsia" w:hAnsiTheme="minorEastAsia" w:hint="eastAsia"/>
          <w:i/>
          <w:sz w:val="20"/>
          <w:szCs w:val="20"/>
          <w:lang w:eastAsia="ko-KR"/>
        </w:rPr>
        <w:t>International Journal of Pharmaceuticals</w:t>
      </w:r>
      <w:r w:rsidRPr="00F23BCA">
        <w:rPr>
          <w:rFonts w:asciiTheme="minorEastAsia" w:eastAsiaTheme="minorEastAsia" w:hAnsiTheme="minorEastAsia" w:hint="eastAsia"/>
          <w:sz w:val="20"/>
          <w:szCs w:val="20"/>
          <w:lang w:eastAsia="ko-KR"/>
        </w:rPr>
        <w:t>, vol. 439, pp. 260-268, 2012.</w:t>
      </w:r>
    </w:p>
    <w:p w14:paraId="189BCD4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C1E3F3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Sarveiya, V., S. Risk, and H. Benson, “Liquid Chromatographic Assay for Common Sunscreen Agents: Application to In Vivo Assessment of Skin Penetration and Systemic Absorption in Human Volunteers,” </w:t>
      </w:r>
      <w:r w:rsidRPr="00F23BCA">
        <w:rPr>
          <w:rFonts w:asciiTheme="minorEastAsia" w:eastAsiaTheme="minorEastAsia" w:hAnsiTheme="minorEastAsia" w:hint="eastAsia"/>
          <w:i/>
          <w:sz w:val="20"/>
          <w:szCs w:val="20"/>
          <w:lang w:eastAsia="ko-KR"/>
        </w:rPr>
        <w:t>Journal of Chromatography</w:t>
      </w:r>
      <w:r w:rsidRPr="00F23BCA">
        <w:rPr>
          <w:rFonts w:asciiTheme="minorEastAsia" w:eastAsiaTheme="minorEastAsia" w:hAnsiTheme="minorEastAsia" w:hint="eastAsia"/>
          <w:sz w:val="20"/>
          <w:szCs w:val="20"/>
          <w:lang w:eastAsia="ko-KR"/>
        </w:rPr>
        <w:t>, vol. 803(2), pp. 225-231, 2004.</w:t>
      </w:r>
    </w:p>
    <w:p w14:paraId="1F6BB31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1C337B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Schauder, S. and H. Ippen, “Contact and Photocontact Sensitivity to Sunscreens. Review of a 15- Year Experience and of the Literature,” </w:t>
      </w:r>
      <w:r w:rsidRPr="00F23BCA">
        <w:rPr>
          <w:rFonts w:asciiTheme="minorEastAsia" w:eastAsiaTheme="minorEastAsia" w:hAnsiTheme="minorEastAsia" w:hint="eastAsia"/>
          <w:i/>
          <w:sz w:val="20"/>
          <w:szCs w:val="20"/>
          <w:lang w:eastAsia="ko-KR"/>
        </w:rPr>
        <w:t>Contact Dermatitis</w:t>
      </w:r>
      <w:r w:rsidRPr="00F23BCA">
        <w:rPr>
          <w:rFonts w:asciiTheme="minorEastAsia" w:eastAsiaTheme="minorEastAsia" w:hAnsiTheme="minorEastAsia" w:hint="eastAsia"/>
          <w:sz w:val="20"/>
          <w:szCs w:val="20"/>
          <w:lang w:eastAsia="ko-KR"/>
        </w:rPr>
        <w:t>, vol. 37(5), pp. 221-232, 1997.</w:t>
      </w:r>
    </w:p>
    <w:p w14:paraId="393DAC6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E0B5FA9"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Schiffer, C., A. Muller, D.L. Egeberg, et al., “Direct Action of Endocrine Disrupting Chemicals on Human Sperm,” </w:t>
      </w:r>
      <w:r w:rsidRPr="00F23BCA">
        <w:rPr>
          <w:rFonts w:asciiTheme="minorEastAsia" w:eastAsiaTheme="minorEastAsia" w:hAnsiTheme="minorEastAsia" w:hint="eastAsia"/>
          <w:i/>
          <w:sz w:val="20"/>
          <w:szCs w:val="20"/>
          <w:lang w:eastAsia="ko-KR"/>
        </w:rPr>
        <w:t>European Molecular Biology Organization Reports</w:t>
      </w:r>
      <w:r w:rsidRPr="00F23BCA">
        <w:rPr>
          <w:rFonts w:asciiTheme="minorEastAsia" w:eastAsiaTheme="minorEastAsia" w:hAnsiTheme="minorEastAsia" w:hint="eastAsia"/>
          <w:sz w:val="20"/>
          <w:szCs w:val="20"/>
          <w:lang w:eastAsia="ko-KR"/>
        </w:rPr>
        <w:t>, vol. 15(7), pp. 758-765, 2014.</w:t>
      </w:r>
    </w:p>
    <w:p w14:paraId="65618D04"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A6BBC4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Schlumpf, M., P. Schmid, S. Durrer, et al., “Endocrine Activity and Developmental Toxicity of Cosmetic UV Filters--an Update,” </w:t>
      </w:r>
      <w:r w:rsidRPr="00F23BCA">
        <w:rPr>
          <w:rFonts w:asciiTheme="minorEastAsia" w:eastAsiaTheme="minorEastAsia" w:hAnsiTheme="minorEastAsia" w:hint="eastAsia"/>
          <w:i/>
          <w:sz w:val="20"/>
          <w:szCs w:val="20"/>
          <w:lang w:eastAsia="ko-KR"/>
        </w:rPr>
        <w:t>Toxicology</w:t>
      </w:r>
      <w:r w:rsidRPr="00F23BCA">
        <w:rPr>
          <w:rFonts w:asciiTheme="minorEastAsia" w:eastAsiaTheme="minorEastAsia" w:hAnsiTheme="minorEastAsia" w:hint="eastAsia"/>
          <w:sz w:val="20"/>
          <w:szCs w:val="20"/>
          <w:lang w:eastAsia="ko-KR"/>
        </w:rPr>
        <w:t>, vol. 205(1-2), pp. 113-122, 2004.</w:t>
      </w:r>
    </w:p>
    <w:p w14:paraId="4221CF5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88. Schlumpf, M., B. Cotton, M. Conscience, et al., “In Vitro and in Vivo Estrogenicity of UV Screens,” </w:t>
      </w:r>
      <w:r w:rsidRPr="00F23BCA">
        <w:rPr>
          <w:rFonts w:asciiTheme="minorEastAsia" w:eastAsiaTheme="minorEastAsia" w:hAnsiTheme="minorEastAsia" w:hint="eastAsia"/>
          <w:i/>
          <w:sz w:val="20"/>
          <w:szCs w:val="20"/>
          <w:lang w:eastAsia="ko-KR"/>
        </w:rPr>
        <w:t>Environmental Health Perspectives</w:t>
      </w:r>
      <w:r w:rsidRPr="00F23BCA">
        <w:rPr>
          <w:rFonts w:asciiTheme="minorEastAsia" w:eastAsiaTheme="minorEastAsia" w:hAnsiTheme="minorEastAsia" w:hint="eastAsia"/>
          <w:sz w:val="20"/>
          <w:szCs w:val="20"/>
          <w:lang w:eastAsia="ko-KR"/>
        </w:rPr>
        <w:t>, vol. 109(3), pp. 239-244, 2001.</w:t>
      </w:r>
    </w:p>
    <w:p w14:paraId="261D4D7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D31EC41"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Schreurs, R., P. Lanser, W. Seinen, et al., “Estrogenic Activity of UV Filters Determined by an in Vitro Reporter Gene Assay and an in Vivo Transgenic Zebrafish Assay,” </w:t>
      </w:r>
      <w:r w:rsidRPr="00F23BCA">
        <w:rPr>
          <w:rFonts w:asciiTheme="minorEastAsia" w:eastAsiaTheme="minorEastAsia" w:hAnsiTheme="minorEastAsia" w:hint="eastAsia"/>
          <w:i/>
          <w:sz w:val="20"/>
          <w:szCs w:val="20"/>
          <w:lang w:eastAsia="ko-KR"/>
        </w:rPr>
        <w:t>Archives of Toxicology</w:t>
      </w:r>
      <w:r w:rsidRPr="00F23BCA">
        <w:rPr>
          <w:rFonts w:asciiTheme="minorEastAsia" w:eastAsiaTheme="minorEastAsia" w:hAnsiTheme="minorEastAsia" w:hint="eastAsia"/>
          <w:sz w:val="20"/>
          <w:szCs w:val="20"/>
          <w:lang w:eastAsia="ko-KR"/>
        </w:rPr>
        <w:t>, vol. 76(5-6), pp. 257-261, 2002.</w:t>
      </w:r>
    </w:p>
    <w:p w14:paraId="0F41568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8A13582"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Schreurs, R.H., E. Sonneveld, J.H. Jansen, et al., “Interaction of Polycyclic Musks and UV Filters with the Estrogen Receptor (Er), Androgen Receptor (Ar), and Progesterone Receptor (Pr) in Reporter Gene Bioassays,” </w:t>
      </w:r>
      <w:r w:rsidRPr="00F23BCA">
        <w:rPr>
          <w:rFonts w:asciiTheme="minorEastAsia" w:eastAsiaTheme="minorEastAsia" w:hAnsiTheme="minorEastAsia" w:hint="eastAsia"/>
          <w:i/>
          <w:sz w:val="20"/>
          <w:szCs w:val="20"/>
          <w:lang w:eastAsia="ko-KR"/>
        </w:rPr>
        <w:t>Toxicological Sciences</w:t>
      </w:r>
      <w:r w:rsidRPr="00F23BCA">
        <w:rPr>
          <w:rFonts w:asciiTheme="minorEastAsia" w:eastAsiaTheme="minorEastAsia" w:hAnsiTheme="minorEastAsia" w:hint="eastAsia"/>
          <w:sz w:val="20"/>
          <w:szCs w:val="20"/>
          <w:lang w:eastAsia="ko-KR"/>
        </w:rPr>
        <w:t>, vol. 83(2), pp. 264-272, 2005.</w:t>
      </w:r>
    </w:p>
    <w:p w14:paraId="3B8EAC7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B7B552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Schulz, J., H. Hohenberg, F. Pflucker, et al., “Distribution of Sunscreens on Skin,” </w:t>
      </w:r>
      <w:r w:rsidRPr="00F23BCA">
        <w:rPr>
          <w:rFonts w:asciiTheme="minorEastAsia" w:eastAsiaTheme="minorEastAsia" w:hAnsiTheme="minorEastAsia" w:hint="eastAsia"/>
          <w:i/>
          <w:sz w:val="20"/>
          <w:szCs w:val="20"/>
          <w:lang w:eastAsia="ko-KR"/>
        </w:rPr>
        <w:t>Advanced Drug Delivery Reviews</w:t>
      </w:r>
      <w:r w:rsidRPr="00F23BCA">
        <w:rPr>
          <w:rFonts w:asciiTheme="minorEastAsia" w:eastAsiaTheme="minorEastAsia" w:hAnsiTheme="minorEastAsia" w:hint="eastAsia"/>
          <w:sz w:val="20"/>
          <w:szCs w:val="20"/>
          <w:lang w:eastAsia="ko-KR"/>
        </w:rPr>
        <w:t>, vol. 54 Suppl 1, pp. S157-163, 2002.</w:t>
      </w:r>
    </w:p>
    <w:p w14:paraId="757F9A8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B581E8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Seidlova-Wuttke, D., H. Jarry, J. Christoffel, et al., “Comparison of Effects of Estradiol (E2) with Those of Octylmethoxycinnamate (OMC) and 4-Methylbenzylidene Camphor (4</w:t>
      </w:r>
      <w:proofErr w:type="gramStart"/>
      <w:r w:rsidRPr="00F23BCA">
        <w:rPr>
          <w:rFonts w:asciiTheme="minorEastAsia" w:eastAsiaTheme="minorEastAsia" w:hAnsiTheme="minorEastAsia" w:hint="eastAsia"/>
          <w:sz w:val="20"/>
          <w:szCs w:val="20"/>
          <w:lang w:eastAsia="ko-KR"/>
        </w:rPr>
        <w:t>MBC)--</w:t>
      </w:r>
      <w:proofErr w:type="gramEnd"/>
      <w:r w:rsidRPr="00F23BCA">
        <w:rPr>
          <w:rFonts w:asciiTheme="minorEastAsia" w:eastAsiaTheme="minorEastAsia" w:hAnsiTheme="minorEastAsia" w:hint="eastAsia"/>
          <w:sz w:val="20"/>
          <w:szCs w:val="20"/>
          <w:lang w:eastAsia="ko-KR"/>
        </w:rPr>
        <w:t xml:space="preserve">2 Filters of UV Light--on Several Uterine, Vaginal and Bone Parameters,” </w:t>
      </w:r>
      <w:r w:rsidRPr="00F23BCA">
        <w:rPr>
          <w:rFonts w:asciiTheme="minorEastAsia" w:eastAsiaTheme="minorEastAsia" w:hAnsiTheme="minorEastAsia" w:hint="eastAsia"/>
          <w:i/>
          <w:sz w:val="20"/>
          <w:szCs w:val="20"/>
          <w:lang w:eastAsia="ko-KR"/>
        </w:rPr>
        <w:t>Toxicology and Applied Pharmacology</w:t>
      </w:r>
      <w:r w:rsidRPr="00F23BCA">
        <w:rPr>
          <w:rFonts w:asciiTheme="minorEastAsia" w:eastAsiaTheme="minorEastAsia" w:hAnsiTheme="minorEastAsia" w:hint="eastAsia"/>
          <w:sz w:val="20"/>
          <w:szCs w:val="20"/>
          <w:lang w:eastAsia="ko-KR"/>
        </w:rPr>
        <w:t>, vol. 210(3), pp. 246-254, 2006.</w:t>
      </w:r>
    </w:p>
    <w:p w14:paraId="3E9934F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69263A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Simeoni, S., S. Scalia, and H.A. Benson, “Influence of Cyclodextrins on in Vitro Human Skin Absorption of the Sunscreen, Butyl-Methoxydibenzoylmethane,” </w:t>
      </w:r>
      <w:r w:rsidRPr="00F23BCA">
        <w:rPr>
          <w:rFonts w:asciiTheme="minorEastAsia" w:eastAsiaTheme="minorEastAsia" w:hAnsiTheme="minorEastAsia" w:hint="eastAsia"/>
          <w:i/>
          <w:sz w:val="20"/>
          <w:szCs w:val="20"/>
          <w:lang w:eastAsia="ko-KR"/>
        </w:rPr>
        <w:t>International Journal of Pharmaceutics</w:t>
      </w:r>
      <w:r w:rsidRPr="00F23BCA">
        <w:rPr>
          <w:rFonts w:asciiTheme="minorEastAsia" w:eastAsiaTheme="minorEastAsia" w:hAnsiTheme="minorEastAsia" w:hint="eastAsia"/>
          <w:sz w:val="20"/>
          <w:szCs w:val="20"/>
          <w:lang w:eastAsia="ko-KR"/>
        </w:rPr>
        <w:t>, vol. 280(1-2), pp. 163-171, 2004.</w:t>
      </w:r>
    </w:p>
    <w:p w14:paraId="090557F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D0D040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Stanfield, J.W., H. Ou-Yang, T. Chen, et al., “Multi-Laboratory Validation of Very High Sun Protection Factor Values,” </w:t>
      </w:r>
      <w:r w:rsidRPr="00F23BCA">
        <w:rPr>
          <w:rFonts w:asciiTheme="minorEastAsia" w:eastAsiaTheme="minorEastAsia" w:hAnsiTheme="minorEastAsia" w:hint="eastAsia"/>
          <w:i/>
          <w:sz w:val="20"/>
          <w:szCs w:val="20"/>
          <w:lang w:eastAsia="ko-KR"/>
        </w:rPr>
        <w:t xml:space="preserve">Photodermatology, Photoimmunology &amp; Photomedicine, </w:t>
      </w:r>
      <w:r w:rsidRPr="00F23BCA">
        <w:rPr>
          <w:rFonts w:asciiTheme="minorEastAsia" w:eastAsiaTheme="minorEastAsia" w:hAnsiTheme="minorEastAsia" w:hint="eastAsia"/>
          <w:sz w:val="20"/>
          <w:szCs w:val="20"/>
          <w:lang w:eastAsia="ko-KR"/>
        </w:rPr>
        <w:t>vol. 27(1),</w:t>
      </w:r>
    </w:p>
    <w:p w14:paraId="675FBA0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pp. 30-34, 2011.</w:t>
      </w:r>
    </w:p>
    <w:p w14:paraId="5E70C80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27B6AFC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Stefanidou, M., C. Maravelias, A. Dona, et al., “Zinc: A Multipurpose Trace Element,” </w:t>
      </w:r>
      <w:r w:rsidRPr="00F23BCA">
        <w:rPr>
          <w:rFonts w:asciiTheme="minorEastAsia" w:eastAsiaTheme="minorEastAsia" w:hAnsiTheme="minorEastAsia" w:hint="eastAsia"/>
          <w:i/>
          <w:sz w:val="20"/>
          <w:szCs w:val="20"/>
          <w:lang w:eastAsia="ko-KR"/>
        </w:rPr>
        <w:t xml:space="preserve">Archives of Toxicology, </w:t>
      </w:r>
      <w:r w:rsidRPr="00F23BCA">
        <w:rPr>
          <w:rFonts w:asciiTheme="minorEastAsia" w:eastAsiaTheme="minorEastAsia" w:hAnsiTheme="minorEastAsia" w:hint="eastAsia"/>
          <w:sz w:val="20"/>
          <w:szCs w:val="20"/>
          <w:lang w:eastAsia="ko-KR"/>
        </w:rPr>
        <w:t>vol. 80(1), pp. 1-9, 2006.</w:t>
      </w:r>
    </w:p>
    <w:p w14:paraId="26831D99"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F132D0F"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Steiling W., M. Bascompta, P. Carthew, et al., “Principle Considerations for the Risk Assessment of Sprayed Consumer Products,” </w:t>
      </w:r>
      <w:r w:rsidRPr="00F23BCA">
        <w:rPr>
          <w:rFonts w:asciiTheme="minorEastAsia" w:eastAsiaTheme="minorEastAsia" w:hAnsiTheme="minorEastAsia" w:hint="eastAsia"/>
          <w:i/>
          <w:sz w:val="20"/>
          <w:szCs w:val="20"/>
          <w:lang w:eastAsia="ko-KR"/>
        </w:rPr>
        <w:t>Toxicology Letters</w:t>
      </w:r>
      <w:r w:rsidRPr="00F23BCA">
        <w:rPr>
          <w:rFonts w:asciiTheme="minorEastAsia" w:eastAsiaTheme="minorEastAsia" w:hAnsiTheme="minorEastAsia" w:hint="eastAsia"/>
          <w:sz w:val="20"/>
          <w:szCs w:val="20"/>
          <w:lang w:eastAsia="ko-KR"/>
        </w:rPr>
        <w:t>, vol. 227(1), pp. 41-49, 2014.</w:t>
      </w:r>
    </w:p>
    <w:p w14:paraId="6DB44DF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91F314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Stenberg, C., and O. Larko, “Sunscreen Application and Its Importance for the Sun Protection Factor,” </w:t>
      </w:r>
      <w:r w:rsidRPr="00F23BCA">
        <w:rPr>
          <w:rFonts w:asciiTheme="minorEastAsia" w:eastAsiaTheme="minorEastAsia" w:hAnsiTheme="minorEastAsia" w:hint="eastAsia"/>
          <w:i/>
          <w:sz w:val="20"/>
          <w:szCs w:val="20"/>
          <w:lang w:eastAsia="ko-KR"/>
        </w:rPr>
        <w:t>Archives of Dermatology</w:t>
      </w:r>
      <w:r w:rsidRPr="00F23BCA">
        <w:rPr>
          <w:rFonts w:asciiTheme="minorEastAsia" w:eastAsiaTheme="minorEastAsia" w:hAnsiTheme="minorEastAsia" w:hint="eastAsia"/>
          <w:sz w:val="20"/>
          <w:szCs w:val="20"/>
          <w:lang w:eastAsia="ko-KR"/>
        </w:rPr>
        <w:t>, vol. 121(11), pp. 1400-1402, 1985.</w:t>
      </w:r>
    </w:p>
    <w:p w14:paraId="7CB24E13"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F6A349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Stuart, B.O., “Deposition and Clearance of Inhaled Particles,” </w:t>
      </w:r>
      <w:r w:rsidRPr="00F23BCA">
        <w:rPr>
          <w:rFonts w:asciiTheme="minorEastAsia" w:eastAsiaTheme="minorEastAsia" w:hAnsiTheme="minorEastAsia" w:hint="eastAsia"/>
          <w:i/>
          <w:sz w:val="20"/>
          <w:szCs w:val="20"/>
          <w:lang w:eastAsia="ko-KR"/>
        </w:rPr>
        <w:t>Environmental Health Perspectives</w:t>
      </w:r>
      <w:r w:rsidRPr="00F23BCA">
        <w:rPr>
          <w:rFonts w:asciiTheme="minorEastAsia" w:eastAsiaTheme="minorEastAsia" w:hAnsiTheme="minorEastAsia" w:hint="eastAsia"/>
          <w:sz w:val="20"/>
          <w:szCs w:val="20"/>
          <w:lang w:eastAsia="ko-KR"/>
        </w:rPr>
        <w:t>, vol. 55, pp. 369-390, 1984.</w:t>
      </w:r>
    </w:p>
    <w:p w14:paraId="086FC70B"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333AA17"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Svarc, F., “A Brief Illustrated History on Sunscreens and Sun Protection,” </w:t>
      </w:r>
      <w:r w:rsidRPr="00F23BCA">
        <w:rPr>
          <w:rFonts w:asciiTheme="minorEastAsia" w:eastAsiaTheme="minorEastAsia" w:hAnsiTheme="minorEastAsia" w:hint="eastAsia"/>
          <w:i/>
          <w:sz w:val="20"/>
          <w:szCs w:val="20"/>
          <w:lang w:eastAsia="ko-KR"/>
        </w:rPr>
        <w:t>Pure and Applied Chemistry</w:t>
      </w:r>
      <w:r w:rsidRPr="00F23BCA">
        <w:rPr>
          <w:rFonts w:asciiTheme="minorEastAsia" w:eastAsiaTheme="minorEastAsia" w:hAnsiTheme="minorEastAsia" w:hint="eastAsia"/>
          <w:sz w:val="20"/>
          <w:szCs w:val="20"/>
          <w:lang w:eastAsia="ko-KR"/>
        </w:rPr>
        <w:t>, vol. 87(9-10), pp. 929-936, 2015.</w:t>
      </w:r>
    </w:p>
    <w:p w14:paraId="30111DE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BB60AA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Swedish Research Council, “Sunscreens with Benzophenone-3 Unsuitable for Children,” Public release date: November 6, 2006 (available at </w:t>
      </w:r>
      <w:hyperlink r:id="rId99">
        <w:r w:rsidRPr="00F23BCA">
          <w:rPr>
            <w:rFonts w:asciiTheme="minorEastAsia" w:eastAsiaTheme="minorEastAsia" w:hAnsiTheme="minorEastAsia" w:hint="eastAsia"/>
            <w:color w:val="0563C1"/>
            <w:sz w:val="20"/>
            <w:szCs w:val="20"/>
            <w:u w:val="single" w:color="0563C1"/>
            <w:lang w:eastAsia="ko-KR"/>
          </w:rPr>
          <w:t>https://www.eurekalert.org/pub_releases/2006-</w:t>
        </w:r>
      </w:hyperlink>
      <w:r w:rsidRPr="00F23BCA">
        <w:rPr>
          <w:rFonts w:asciiTheme="minorEastAsia" w:eastAsiaTheme="minorEastAsia" w:hAnsiTheme="minorEastAsia" w:hint="eastAsia"/>
          <w:color w:val="0563C1"/>
          <w:sz w:val="20"/>
          <w:szCs w:val="20"/>
          <w:lang w:eastAsia="ko-KR"/>
        </w:rPr>
        <w:t xml:space="preserve"> </w:t>
      </w:r>
      <w:hyperlink r:id="rId100">
        <w:r w:rsidRPr="00F23BCA">
          <w:rPr>
            <w:rFonts w:asciiTheme="minorEastAsia" w:eastAsiaTheme="minorEastAsia" w:hAnsiTheme="minorEastAsia" w:hint="eastAsia"/>
            <w:color w:val="0563C1"/>
            <w:sz w:val="20"/>
            <w:szCs w:val="20"/>
            <w:u w:val="single" w:color="0563C1"/>
            <w:lang w:eastAsia="ko-KR"/>
          </w:rPr>
          <w:t>11/src-swb110606.php</w:t>
        </w:r>
      </w:hyperlink>
      <w:r w:rsidRPr="00F23BCA">
        <w:rPr>
          <w:rFonts w:asciiTheme="minorEastAsia" w:eastAsiaTheme="minorEastAsia" w:hAnsiTheme="minorEastAsia" w:hint="eastAsia"/>
          <w:sz w:val="20"/>
          <w:szCs w:val="20"/>
          <w:lang w:eastAsia="ko-KR"/>
        </w:rPr>
        <w:t>), accessed May 26, 2021.</w:t>
      </w:r>
    </w:p>
    <w:p w14:paraId="31C4792C"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9695D2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Szwarcfarb, B., S. Carbone, R. Reynoso, et al., “Octyl-Methoxycinnamate (OMC), an Ultraviolet (UV) Filter, Alters LHRH and Amino Acid Neurotransmitters Release from Hypothalamus of Immature Rats,” </w:t>
      </w:r>
      <w:r w:rsidRPr="00F23BCA">
        <w:rPr>
          <w:rFonts w:asciiTheme="minorEastAsia" w:eastAsiaTheme="minorEastAsia" w:hAnsiTheme="minorEastAsia" w:hint="eastAsia"/>
          <w:i/>
          <w:sz w:val="20"/>
          <w:szCs w:val="20"/>
          <w:lang w:eastAsia="ko-KR"/>
        </w:rPr>
        <w:t>Experimental and Clinical Endocrinology and Diabetes</w:t>
      </w:r>
      <w:r w:rsidRPr="00F23BCA">
        <w:rPr>
          <w:rFonts w:asciiTheme="minorEastAsia" w:eastAsiaTheme="minorEastAsia" w:hAnsiTheme="minorEastAsia" w:hint="eastAsia"/>
          <w:sz w:val="20"/>
          <w:szCs w:val="20"/>
          <w:lang w:eastAsia="ko-KR"/>
        </w:rPr>
        <w:t>, vol. 116(2), pp. 94-98, 2008.</w:t>
      </w:r>
    </w:p>
    <w:p w14:paraId="3A27AF0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F71B3A6"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Teplitz, R.W., A.M. Glazer, R.M. Svoboda, et al., “Trends in US Sunscreen Formulations: Impact of Increasing Spray Usage,”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 78(1), pp. 187-189, 2018.</w:t>
      </w:r>
    </w:p>
    <w:p w14:paraId="6805AB9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C939F5C"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Tewari, A., R.P. Sarkany, and A.R. Young, “UVA1 Induces Cyclobutane Pyrimidine Dimers but Not 6-4 Photoproducts in Human Skin in Vivo,” </w:t>
      </w:r>
      <w:r w:rsidRPr="00F23BCA">
        <w:rPr>
          <w:rFonts w:asciiTheme="minorEastAsia" w:eastAsiaTheme="minorEastAsia" w:hAnsiTheme="minorEastAsia" w:hint="eastAsia"/>
          <w:i/>
          <w:sz w:val="20"/>
          <w:szCs w:val="20"/>
          <w:lang w:eastAsia="ko-KR"/>
        </w:rPr>
        <w:t xml:space="preserve">Journal of Investigative Dermatology, </w:t>
      </w:r>
      <w:r w:rsidRPr="00F23BCA">
        <w:rPr>
          <w:rFonts w:asciiTheme="minorEastAsia" w:eastAsiaTheme="minorEastAsia" w:hAnsiTheme="minorEastAsia" w:hint="eastAsia"/>
          <w:sz w:val="20"/>
          <w:szCs w:val="20"/>
          <w:lang w:eastAsia="ko-KR"/>
        </w:rPr>
        <w:t>vol.</w:t>
      </w:r>
    </w:p>
    <w:p w14:paraId="0655636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132(2), pp. 394-400, 2012.</w:t>
      </w:r>
    </w:p>
    <w:p w14:paraId="14D3AEEE" w14:textId="77777777" w:rsidR="00F23BCA" w:rsidRPr="00F23BCA" w:rsidRDefault="00F23BCA" w:rsidP="00F23BCA">
      <w:pPr>
        <w:jc w:val="both"/>
        <w:rPr>
          <w:rFonts w:asciiTheme="minorEastAsia" w:eastAsiaTheme="minorEastAsia" w:hAnsiTheme="minorEastAsia"/>
          <w:sz w:val="20"/>
          <w:szCs w:val="20"/>
          <w:lang w:eastAsia="ko-KR"/>
        </w:rPr>
      </w:pPr>
    </w:p>
    <w:p w14:paraId="17EA96A3"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Tewari, A., M.M. Grage, G.I. Harrison, et al., “UVA1 Is Skin Deep: Molecular and Clinical Implications,” </w:t>
      </w:r>
      <w:r w:rsidRPr="00F23BCA">
        <w:rPr>
          <w:rFonts w:asciiTheme="minorEastAsia" w:eastAsiaTheme="minorEastAsia" w:hAnsiTheme="minorEastAsia" w:hint="eastAsia"/>
          <w:i/>
          <w:sz w:val="20"/>
          <w:szCs w:val="20"/>
          <w:lang w:eastAsia="ko-KR"/>
        </w:rPr>
        <w:t xml:space="preserve">Photochemical and Photobiological Sciences, </w:t>
      </w:r>
      <w:r w:rsidRPr="00F23BCA">
        <w:rPr>
          <w:rFonts w:asciiTheme="minorEastAsia" w:eastAsiaTheme="minorEastAsia" w:hAnsiTheme="minorEastAsia" w:hint="eastAsia"/>
          <w:sz w:val="20"/>
          <w:szCs w:val="20"/>
          <w:lang w:eastAsia="ko-KR"/>
        </w:rPr>
        <w:t>vol. 12(1), pp. 95-103, 2013.</w:t>
      </w:r>
    </w:p>
    <w:p w14:paraId="1DA1AB3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E31C86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*Therapeutic Goods Administration, “Australian Regulatory Guidelines for Sunscreens (ARGS),” </w:t>
      </w:r>
      <w:r w:rsidRPr="00F23BCA">
        <w:rPr>
          <w:rFonts w:asciiTheme="minorEastAsia" w:eastAsiaTheme="minorEastAsia" w:hAnsiTheme="minorEastAsia" w:hint="eastAsia"/>
          <w:i/>
          <w:sz w:val="20"/>
          <w:szCs w:val="20"/>
          <w:lang w:eastAsia="ko-KR"/>
        </w:rPr>
        <w:t xml:space="preserve">TGA Publication, </w:t>
      </w:r>
      <w:r w:rsidRPr="00F23BCA">
        <w:rPr>
          <w:rFonts w:asciiTheme="minorEastAsia" w:eastAsiaTheme="minorEastAsia" w:hAnsiTheme="minorEastAsia" w:hint="eastAsia"/>
          <w:sz w:val="20"/>
          <w:szCs w:val="20"/>
          <w:lang w:eastAsia="ko-KR"/>
        </w:rPr>
        <w:t>pp. 1-43, 2016.</w:t>
      </w:r>
    </w:p>
    <w:p w14:paraId="36E0E69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CFAEEEB"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Treffel, P. and B. Gabard, “Skin Penetration and Sun Protection Factor of Ultra-Violet Filters from Two Vehicles,” </w:t>
      </w:r>
      <w:r w:rsidRPr="00F23BCA">
        <w:rPr>
          <w:rFonts w:asciiTheme="minorEastAsia" w:eastAsiaTheme="minorEastAsia" w:hAnsiTheme="minorEastAsia" w:hint="eastAsia"/>
          <w:i/>
          <w:sz w:val="20"/>
          <w:szCs w:val="20"/>
          <w:lang w:eastAsia="ko-KR"/>
        </w:rPr>
        <w:t>Pharmaceutical Research</w:t>
      </w:r>
      <w:r w:rsidRPr="00F23BCA">
        <w:rPr>
          <w:rFonts w:asciiTheme="minorEastAsia" w:eastAsiaTheme="minorEastAsia" w:hAnsiTheme="minorEastAsia" w:hint="eastAsia"/>
          <w:sz w:val="20"/>
          <w:szCs w:val="20"/>
          <w:lang w:eastAsia="ko-KR"/>
        </w:rPr>
        <w:t>, vol. 13(5), pp. 770-774, 1996.</w:t>
      </w:r>
    </w:p>
    <w:p w14:paraId="71AC92D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0489806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Trevisi, P., C. Vincenzi, C. Chieregato, et al., “Sunscreen Sensitization: A Three-Year Study,”</w:t>
      </w:r>
    </w:p>
    <w:p w14:paraId="2A0F7125"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Dermatology (Basel, Switzerland)</w:t>
      </w:r>
      <w:r w:rsidRPr="00F23BCA">
        <w:rPr>
          <w:rFonts w:asciiTheme="minorEastAsia" w:eastAsiaTheme="minorEastAsia" w:hAnsiTheme="minorEastAsia" w:hint="eastAsia"/>
          <w:sz w:val="20"/>
          <w:szCs w:val="20"/>
          <w:lang w:eastAsia="ko-KR"/>
        </w:rPr>
        <w:t>, vol. 189(1), pp. 55-57, 1994.</w:t>
      </w:r>
    </w:p>
    <w:p w14:paraId="2D7452BD"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296DC46"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Unnithan, J., M.U. Rehman, F.J. Ahmad, et al., “Aqueous Synthesis and Concentration- Dependent Dermal Toxicity of Tio2 Nanoparticles in Wistar Rats,” </w:t>
      </w:r>
      <w:r w:rsidRPr="00F23BCA">
        <w:rPr>
          <w:rFonts w:asciiTheme="minorEastAsia" w:eastAsiaTheme="minorEastAsia" w:hAnsiTheme="minorEastAsia" w:hint="eastAsia"/>
          <w:i/>
          <w:sz w:val="20"/>
          <w:szCs w:val="20"/>
          <w:lang w:eastAsia="ko-KR"/>
        </w:rPr>
        <w:t xml:space="preserve">Biological Trace Element Research, </w:t>
      </w:r>
      <w:r w:rsidRPr="00F23BCA">
        <w:rPr>
          <w:rFonts w:asciiTheme="minorEastAsia" w:eastAsiaTheme="minorEastAsia" w:hAnsiTheme="minorEastAsia" w:hint="eastAsia"/>
          <w:sz w:val="20"/>
          <w:szCs w:val="20"/>
          <w:lang w:eastAsia="ko-KR"/>
        </w:rPr>
        <w:t>vol. 143(3), pp. 1682-1694, 2011a.</w:t>
      </w:r>
    </w:p>
    <w:p w14:paraId="508D4B6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793D1A4"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Unnithan, J., M.U. Rehman, F.J. Ahmad, et al., “Concentration Dependent Toxicity of Approximately 20 Nm Anatase Titanium Dioxide Nanoparticles--an in Vivo Study on Wistar Rats,” </w:t>
      </w:r>
      <w:r w:rsidRPr="00F23BCA">
        <w:rPr>
          <w:rFonts w:asciiTheme="minorEastAsia" w:eastAsiaTheme="minorEastAsia" w:hAnsiTheme="minorEastAsia" w:hint="eastAsia"/>
          <w:i/>
          <w:sz w:val="20"/>
          <w:szCs w:val="20"/>
          <w:lang w:eastAsia="ko-KR"/>
        </w:rPr>
        <w:t xml:space="preserve">Journal of Biomedical Nanotechnology, </w:t>
      </w:r>
      <w:r w:rsidRPr="00F23BCA">
        <w:rPr>
          <w:rFonts w:asciiTheme="minorEastAsia" w:eastAsiaTheme="minorEastAsia" w:hAnsiTheme="minorEastAsia" w:hint="eastAsia"/>
          <w:sz w:val="20"/>
          <w:szCs w:val="20"/>
          <w:lang w:eastAsia="ko-KR"/>
        </w:rPr>
        <w:t>vol. 7(1), pp. 207-208, 2011b.</w:t>
      </w:r>
    </w:p>
    <w:p w14:paraId="5CDE652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ADA9A0C"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Urbach, F., “The Historical Aspects of Sunscreens,” </w:t>
      </w:r>
      <w:r w:rsidRPr="00F23BCA">
        <w:rPr>
          <w:rFonts w:asciiTheme="minorEastAsia" w:eastAsiaTheme="minorEastAsia" w:hAnsiTheme="minorEastAsia" w:hint="eastAsia"/>
          <w:i/>
          <w:sz w:val="20"/>
          <w:szCs w:val="20"/>
          <w:lang w:eastAsia="ko-KR"/>
        </w:rPr>
        <w:t>Journal of Photochemistry and Photobiology B</w:t>
      </w:r>
      <w:r w:rsidRPr="00F23BCA">
        <w:rPr>
          <w:rFonts w:asciiTheme="minorEastAsia" w:eastAsiaTheme="minorEastAsia" w:hAnsiTheme="minorEastAsia" w:hint="eastAsia"/>
          <w:sz w:val="20"/>
          <w:szCs w:val="20"/>
          <w:lang w:eastAsia="ko-KR"/>
        </w:rPr>
        <w:t>, vol. 64(2-3), pp. 99-104, 2001.</w:t>
      </w:r>
    </w:p>
    <w:p w14:paraId="0F54B041"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EFA64B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*U.S. Department of Health and Human Services, “The Surgeon General’s Call to Action to Prevent Skin Cancer,” (available at </w:t>
      </w:r>
      <w:hyperlink r:id="rId101">
        <w:r w:rsidRPr="00F23BCA">
          <w:rPr>
            <w:rFonts w:asciiTheme="minorEastAsia" w:eastAsiaTheme="minorEastAsia" w:hAnsiTheme="minorEastAsia" w:hint="eastAsia"/>
            <w:color w:val="0563C1"/>
            <w:sz w:val="20"/>
            <w:szCs w:val="20"/>
            <w:u w:val="single" w:color="0563C1"/>
            <w:lang w:eastAsia="ko-KR"/>
          </w:rPr>
          <w:t>https://www.hhs.gov/surgeongeneral/reports-and-</w:t>
        </w:r>
      </w:hyperlink>
      <w:r w:rsidRPr="00F23BCA">
        <w:rPr>
          <w:rFonts w:asciiTheme="minorEastAsia" w:eastAsiaTheme="minorEastAsia" w:hAnsiTheme="minorEastAsia" w:hint="eastAsia"/>
          <w:color w:val="0563C1"/>
          <w:sz w:val="20"/>
          <w:szCs w:val="20"/>
          <w:lang w:eastAsia="ko-KR"/>
        </w:rPr>
        <w:t xml:space="preserve"> </w:t>
      </w:r>
      <w:hyperlink r:id="rId102">
        <w:r w:rsidRPr="00F23BCA">
          <w:rPr>
            <w:rFonts w:asciiTheme="minorEastAsia" w:eastAsiaTheme="minorEastAsia" w:hAnsiTheme="minorEastAsia" w:hint="eastAsia"/>
            <w:color w:val="0563C1"/>
            <w:sz w:val="20"/>
            <w:szCs w:val="20"/>
            <w:u w:val="single" w:color="0563C1"/>
            <w:lang w:eastAsia="ko-KR"/>
          </w:rPr>
          <w:t>publications/skin-cancer/executive-summary/index.html</w:t>
        </w:r>
      </w:hyperlink>
      <w:r w:rsidRPr="00F23BCA">
        <w:rPr>
          <w:rFonts w:asciiTheme="minorEastAsia" w:eastAsiaTheme="minorEastAsia" w:hAnsiTheme="minorEastAsia" w:hint="eastAsia"/>
          <w:sz w:val="20"/>
          <w:szCs w:val="20"/>
          <w:lang w:eastAsia="ko-KR"/>
        </w:rPr>
        <w:t>), accessed May 26, 2021.</w:t>
      </w:r>
    </w:p>
    <w:p w14:paraId="26F57AD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32759DAF"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U.S. Pharmacopeia, “&lt;429&gt; Light Diffraction Measurement of Particle Size,” </w:t>
      </w:r>
      <w:r w:rsidRPr="00F23BCA">
        <w:rPr>
          <w:rFonts w:asciiTheme="minorEastAsia" w:eastAsiaTheme="minorEastAsia" w:hAnsiTheme="minorEastAsia" w:hint="eastAsia"/>
          <w:i/>
          <w:sz w:val="20"/>
          <w:szCs w:val="20"/>
          <w:lang w:eastAsia="ko-KR"/>
        </w:rPr>
        <w:t>US Pharmacopeia 43--National Formulary 38</w:t>
      </w:r>
      <w:r w:rsidRPr="00F23BCA">
        <w:rPr>
          <w:rFonts w:asciiTheme="minorEastAsia" w:eastAsiaTheme="minorEastAsia" w:hAnsiTheme="minorEastAsia" w:hint="eastAsia"/>
          <w:sz w:val="20"/>
          <w:szCs w:val="20"/>
          <w:lang w:eastAsia="ko-KR"/>
        </w:rPr>
        <w:t>, pp. 1-5, June 2021.</w:t>
      </w:r>
    </w:p>
    <w:p w14:paraId="652F22C8"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C563530"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U.S. Pharmacopeia, “1724: Semisolid Drug Products--Performance Tests,” </w:t>
      </w:r>
      <w:r w:rsidRPr="00F23BCA">
        <w:rPr>
          <w:rFonts w:asciiTheme="minorEastAsia" w:eastAsiaTheme="minorEastAsia" w:hAnsiTheme="minorEastAsia" w:hint="eastAsia"/>
          <w:i/>
          <w:sz w:val="20"/>
          <w:szCs w:val="20"/>
          <w:lang w:eastAsia="ko-KR"/>
        </w:rPr>
        <w:t>US Pharmacopeia 40--National Formulary 35</w:t>
      </w:r>
      <w:r w:rsidRPr="00F23BCA">
        <w:rPr>
          <w:rFonts w:asciiTheme="minorEastAsia" w:eastAsiaTheme="minorEastAsia" w:hAnsiTheme="minorEastAsia" w:hint="eastAsia"/>
          <w:sz w:val="20"/>
          <w:szCs w:val="20"/>
          <w:lang w:eastAsia="ko-KR"/>
        </w:rPr>
        <w:t>, pp. 2055-2067, December 2017.</w:t>
      </w:r>
    </w:p>
    <w:p w14:paraId="724346C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A003AE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Ulrich, C., J.S. Jurgensen, A. Degen, et al., “Prevention of Non-Melanoma Skin Cancer in Organ Transplant Patients by Regular Use of a Sunscreen: a 24 Months, Prospective, Case-Control Study,” </w:t>
      </w:r>
      <w:r w:rsidRPr="00F23BCA">
        <w:rPr>
          <w:rFonts w:asciiTheme="minorEastAsia" w:eastAsiaTheme="minorEastAsia" w:hAnsiTheme="minorEastAsia" w:hint="eastAsia"/>
          <w:i/>
          <w:sz w:val="20"/>
          <w:szCs w:val="20"/>
          <w:lang w:eastAsia="ko-KR"/>
        </w:rPr>
        <w:t xml:space="preserve">The British Journal of Dermatology, </w:t>
      </w:r>
      <w:r w:rsidRPr="00F23BCA">
        <w:rPr>
          <w:rFonts w:asciiTheme="minorEastAsia" w:eastAsiaTheme="minorEastAsia" w:hAnsiTheme="minorEastAsia" w:hint="eastAsia"/>
          <w:sz w:val="20"/>
          <w:szCs w:val="20"/>
          <w:lang w:eastAsia="ko-KR"/>
        </w:rPr>
        <w:t>vol. 161 Suppl 3, pp. 78-84, 2009.</w:t>
      </w:r>
    </w:p>
    <w:p w14:paraId="15E0A9A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6DA320E"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Valbuena Mesa, M.C. and E.V. Hoyos Jimenez, “Photopatch Testing in Bogota (Colombia): 2011-2013,” </w:t>
      </w:r>
      <w:r w:rsidRPr="00F23BCA">
        <w:rPr>
          <w:rFonts w:asciiTheme="minorEastAsia" w:eastAsiaTheme="minorEastAsia" w:hAnsiTheme="minorEastAsia" w:hint="eastAsia"/>
          <w:i/>
          <w:sz w:val="20"/>
          <w:szCs w:val="20"/>
          <w:lang w:eastAsia="ko-KR"/>
        </w:rPr>
        <w:t>Contact Dermatitis</w:t>
      </w:r>
      <w:r w:rsidRPr="00F23BCA">
        <w:rPr>
          <w:rFonts w:asciiTheme="minorEastAsia" w:eastAsiaTheme="minorEastAsia" w:hAnsiTheme="minorEastAsia" w:hint="eastAsia"/>
          <w:sz w:val="20"/>
          <w:szCs w:val="20"/>
          <w:lang w:eastAsia="ko-KR"/>
        </w:rPr>
        <w:t>, vol. 74(1), pp. 11-17, 2016.</w:t>
      </w:r>
    </w:p>
    <w:p w14:paraId="5BBF259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F12F2C4"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Victor, F.C., D.E. Cohen, and N.A. Soter, “A 20-Year Analysis of Previous and Emerging Allergens That Elicit Photoallergic Contact Dermatitis,”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 62(4), pp. 605-610, 2010.</w:t>
      </w:r>
    </w:p>
    <w:p w14:paraId="24F8374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16D4BC0"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Walters, K.A., A.C. Watkinson, and K.R. Brain, “In Vitro Skin Permeation Evaluation: The Only Realistic Option,” </w:t>
      </w:r>
      <w:r w:rsidRPr="00F23BCA">
        <w:rPr>
          <w:rFonts w:asciiTheme="minorEastAsia" w:eastAsiaTheme="minorEastAsia" w:hAnsiTheme="minorEastAsia" w:hint="eastAsia"/>
          <w:i/>
          <w:sz w:val="20"/>
          <w:szCs w:val="20"/>
          <w:lang w:eastAsia="ko-KR"/>
        </w:rPr>
        <w:t>International Journal of Cosmetic Science</w:t>
      </w:r>
      <w:r w:rsidRPr="00F23BCA">
        <w:rPr>
          <w:rFonts w:asciiTheme="minorEastAsia" w:eastAsiaTheme="minorEastAsia" w:hAnsiTheme="minorEastAsia" w:hint="eastAsia"/>
          <w:sz w:val="20"/>
          <w:szCs w:val="20"/>
          <w:lang w:eastAsia="ko-KR"/>
        </w:rPr>
        <w:t>, vol. 20(5), pp. 307-316, 1998.</w:t>
      </w:r>
    </w:p>
    <w:p w14:paraId="38FFDDFE"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AF41990"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Walters, K.A., K.R. Brain, D. Howes, et al., “Percutaneous Penetration of Octyl Salicylate from Representative Sunscreen Formulations through Human Skin in Vitro,” </w:t>
      </w:r>
      <w:r w:rsidRPr="00F23BCA">
        <w:rPr>
          <w:rFonts w:asciiTheme="minorEastAsia" w:eastAsiaTheme="minorEastAsia" w:hAnsiTheme="minorEastAsia" w:hint="eastAsia"/>
          <w:i/>
          <w:sz w:val="20"/>
          <w:szCs w:val="20"/>
          <w:lang w:eastAsia="ko-KR"/>
        </w:rPr>
        <w:t>Food and Chemical Toxicology</w:t>
      </w:r>
      <w:r w:rsidRPr="00F23BCA">
        <w:rPr>
          <w:rFonts w:asciiTheme="minorEastAsia" w:eastAsiaTheme="minorEastAsia" w:hAnsiTheme="minorEastAsia" w:hint="eastAsia"/>
          <w:sz w:val="20"/>
          <w:szCs w:val="20"/>
          <w:lang w:eastAsia="ko-KR"/>
        </w:rPr>
        <w:t>, vol. 35(12), pp. 1219-1225, 1997.</w:t>
      </w:r>
    </w:p>
    <w:p w14:paraId="11857D4F"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9250AED"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Wang, T. and X. Gu, “In Vitro Percutaneous Permeation of the Repellent DEET and the Sunscreen Oxybenzone Across Human Skin,” </w:t>
      </w:r>
      <w:r w:rsidRPr="00F23BCA">
        <w:rPr>
          <w:rFonts w:asciiTheme="minorEastAsia" w:eastAsiaTheme="minorEastAsia" w:hAnsiTheme="minorEastAsia" w:hint="eastAsia"/>
          <w:i/>
          <w:sz w:val="20"/>
          <w:szCs w:val="20"/>
          <w:lang w:eastAsia="ko-KR"/>
        </w:rPr>
        <w:t>Journal of Pharmacy and Pharmaceutical Sciences</w:t>
      </w:r>
      <w:r w:rsidRPr="00F23BCA">
        <w:rPr>
          <w:rFonts w:asciiTheme="minorEastAsia" w:eastAsiaTheme="minorEastAsia" w:hAnsiTheme="minorEastAsia" w:hint="eastAsia"/>
          <w:sz w:val="20"/>
          <w:szCs w:val="20"/>
          <w:lang w:eastAsia="ko-KR"/>
        </w:rPr>
        <w:t>, vol. 10(1), pp. 17-25, 2007.</w:t>
      </w:r>
    </w:p>
    <w:p w14:paraId="2D210E0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6823D38B"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Wang, S.Q., J.W. Stanfield, and U. Osterwalder, “In Vitro Assessments of UVA Protection by Popular Sunscreens Available in the United States,” </w:t>
      </w:r>
      <w:r w:rsidRPr="00F23BCA">
        <w:rPr>
          <w:rFonts w:asciiTheme="minorEastAsia" w:eastAsiaTheme="minorEastAsia" w:hAnsiTheme="minorEastAsia" w:hint="eastAsia"/>
          <w:i/>
          <w:sz w:val="20"/>
          <w:szCs w:val="20"/>
          <w:lang w:eastAsia="ko-KR"/>
        </w:rPr>
        <w:t>Journal of the American Academy of Dermatology</w:t>
      </w:r>
      <w:r w:rsidRPr="00F23BCA">
        <w:rPr>
          <w:rFonts w:asciiTheme="minorEastAsia" w:eastAsiaTheme="minorEastAsia" w:hAnsiTheme="minorEastAsia" w:hint="eastAsia"/>
          <w:sz w:val="20"/>
          <w:szCs w:val="20"/>
          <w:lang w:eastAsia="ko-KR"/>
        </w:rPr>
        <w:t>, vol. 59(6), pp. 934-942, 2008.</w:t>
      </w:r>
    </w:p>
    <w:p w14:paraId="417773C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EA0A16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Wang, L.H., W.S. Huang, and H.M. Tai, “Simultaneous Determination of P-Aminobenzoic Acid and its Metabolites in the Urine of Volunteers, Treated with P-Aminobenzoic Acid Sunscreen Formulation,” </w:t>
      </w:r>
      <w:r w:rsidRPr="00F23BCA">
        <w:rPr>
          <w:rFonts w:asciiTheme="minorEastAsia" w:eastAsiaTheme="minorEastAsia" w:hAnsiTheme="minorEastAsia" w:hint="eastAsia"/>
          <w:i/>
          <w:sz w:val="20"/>
          <w:szCs w:val="20"/>
          <w:lang w:eastAsia="ko-KR"/>
        </w:rPr>
        <w:t>Journal of Pharmaceutical and Biomedical Analysis</w:t>
      </w:r>
      <w:r w:rsidRPr="00F23BCA">
        <w:rPr>
          <w:rFonts w:asciiTheme="minorEastAsia" w:eastAsiaTheme="minorEastAsia" w:hAnsiTheme="minorEastAsia" w:hint="eastAsia"/>
          <w:sz w:val="20"/>
          <w:szCs w:val="20"/>
          <w:lang w:eastAsia="ko-KR"/>
        </w:rPr>
        <w:t>, vol. 43(4), pp. 1430-1436, 2007.</w:t>
      </w:r>
    </w:p>
    <w:p w14:paraId="135CFB02"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116489A"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Warheit, D.B., R. Boatman, and S.C. Brown, “Developmental Toxicity Studies with 6 Forms of Titanium Dioxide Test Materials (3 Pigment-Different Grade &amp; 3 Nanoscale) Demonstrate an Absence of Effects in Orally-Exposed Rats,” </w:t>
      </w:r>
      <w:r w:rsidRPr="00F23BCA">
        <w:rPr>
          <w:rFonts w:asciiTheme="minorEastAsia" w:eastAsiaTheme="minorEastAsia" w:hAnsiTheme="minorEastAsia" w:hint="eastAsia"/>
          <w:i/>
          <w:sz w:val="20"/>
          <w:szCs w:val="20"/>
          <w:lang w:eastAsia="ko-KR"/>
        </w:rPr>
        <w:t xml:space="preserve">Regulatory Toxicology and Pharmacology, </w:t>
      </w:r>
      <w:r w:rsidRPr="00F23BCA">
        <w:rPr>
          <w:rFonts w:asciiTheme="minorEastAsia" w:eastAsiaTheme="minorEastAsia" w:hAnsiTheme="minorEastAsia" w:hint="eastAsia"/>
          <w:sz w:val="20"/>
          <w:szCs w:val="20"/>
          <w:lang w:eastAsia="ko-KR"/>
        </w:rPr>
        <w:t>vol.</w:t>
      </w:r>
    </w:p>
    <w:p w14:paraId="7EEC23B8"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73(3), pp. 887-896, 2015.</w:t>
      </w:r>
    </w:p>
    <w:p w14:paraId="442339B6"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669DC4D"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Warshaw, E.M., M.Z. Wang, H.I. Maibach, et al., “Patch Test Reactions Associated with Sunscreen Products and the Importance of Testing to an Expanded Series: Retrospective Analysis of North American Contact Dermatitis Group Data, 2001 to 2010,” </w:t>
      </w:r>
      <w:r w:rsidRPr="00F23BCA">
        <w:rPr>
          <w:rFonts w:asciiTheme="minorEastAsia" w:eastAsiaTheme="minorEastAsia" w:hAnsiTheme="minorEastAsia" w:hint="eastAsia"/>
          <w:i/>
          <w:sz w:val="20"/>
          <w:szCs w:val="20"/>
          <w:lang w:eastAsia="ko-KR"/>
        </w:rPr>
        <w:t>Dermatitis</w:t>
      </w:r>
      <w:r w:rsidRPr="00F23BCA">
        <w:rPr>
          <w:rFonts w:asciiTheme="minorEastAsia" w:eastAsiaTheme="minorEastAsia" w:hAnsiTheme="minorEastAsia" w:hint="eastAsia"/>
          <w:sz w:val="20"/>
          <w:szCs w:val="20"/>
          <w:lang w:eastAsia="ko-KR"/>
        </w:rPr>
        <w:t>, vol. 24(4), pp. 176-182, 2013.</w:t>
      </w:r>
    </w:p>
    <w:p w14:paraId="76354000"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73E52B85"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Willis, I., “Sensitization Potential of Para-Aminobenzoic Acid,” </w:t>
      </w:r>
      <w:r w:rsidRPr="00F23BCA">
        <w:rPr>
          <w:rFonts w:asciiTheme="minorEastAsia" w:eastAsiaTheme="minorEastAsia" w:hAnsiTheme="minorEastAsia" w:hint="eastAsia"/>
          <w:i/>
          <w:sz w:val="20"/>
          <w:szCs w:val="20"/>
          <w:lang w:eastAsia="ko-KR"/>
        </w:rPr>
        <w:t>Cosmetics and Toiletries</w:t>
      </w:r>
      <w:r w:rsidRPr="00F23BCA">
        <w:rPr>
          <w:rFonts w:asciiTheme="minorEastAsia" w:eastAsiaTheme="minorEastAsia" w:hAnsiTheme="minorEastAsia" w:hint="eastAsia"/>
          <w:sz w:val="20"/>
          <w:szCs w:val="20"/>
          <w:lang w:eastAsia="ko-KR"/>
        </w:rPr>
        <w:t>, vol. 91(3), pp. 63-64, 1976.</w:t>
      </w:r>
    </w:p>
    <w:p w14:paraId="39C38055"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1C1F0FD4"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val="fr-FR" w:eastAsia="ko-KR"/>
        </w:rPr>
        <w:t xml:space="preserve">Xu, S., M. Kwa, A. Agarwal, et al. </w:t>
      </w:r>
      <w:r w:rsidRPr="00F23BCA">
        <w:rPr>
          <w:rFonts w:asciiTheme="minorEastAsia" w:eastAsiaTheme="minorEastAsia" w:hAnsiTheme="minorEastAsia" w:hint="eastAsia"/>
          <w:sz w:val="20"/>
          <w:szCs w:val="20"/>
          <w:lang w:eastAsia="ko-KR"/>
        </w:rPr>
        <w:t xml:space="preserve">“Sunscreen Product Performance and Other Determinants of Consumer Preferences,” </w:t>
      </w:r>
      <w:r w:rsidRPr="00F23BCA">
        <w:rPr>
          <w:rFonts w:asciiTheme="minorEastAsia" w:eastAsiaTheme="minorEastAsia" w:hAnsiTheme="minorEastAsia" w:hint="eastAsia"/>
          <w:i/>
          <w:sz w:val="20"/>
          <w:szCs w:val="20"/>
          <w:lang w:eastAsia="ko-KR"/>
        </w:rPr>
        <w:t>Journal of the American Medical Association Dermatology</w:t>
      </w:r>
      <w:r w:rsidRPr="00F23BCA">
        <w:rPr>
          <w:rFonts w:asciiTheme="minorEastAsia" w:eastAsiaTheme="minorEastAsia" w:hAnsiTheme="minorEastAsia" w:hint="eastAsia"/>
          <w:sz w:val="20"/>
          <w:szCs w:val="20"/>
          <w:lang w:eastAsia="ko-KR"/>
        </w:rPr>
        <w:t>, vol. 52(8),</w:t>
      </w:r>
    </w:p>
    <w:p w14:paraId="6EAEEE6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pp. 920-927, 2016.</w:t>
      </w:r>
    </w:p>
    <w:p w14:paraId="47FD2D6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56C39A9D" w14:textId="77777777" w:rsidR="00F23BCA" w:rsidRPr="00F23BCA" w:rsidRDefault="00F23BCA" w:rsidP="00F23BCA">
      <w:pPr>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 xml:space="preserve">Yiin, L. M., J.N. Tian, and C.C. Hung, “Assessment of Dermal Absorption of DEET-Containing Insect Repellent and Oxybenzone-Containing Sunscreen Using Human Urinary Metabolites,” </w:t>
      </w:r>
      <w:r w:rsidRPr="00F23BCA">
        <w:rPr>
          <w:rFonts w:asciiTheme="minorEastAsia" w:eastAsiaTheme="minorEastAsia" w:hAnsiTheme="minorEastAsia" w:hint="eastAsia"/>
          <w:i/>
          <w:sz w:val="20"/>
          <w:szCs w:val="20"/>
          <w:lang w:eastAsia="ko-KR"/>
        </w:rPr>
        <w:t>Environmental Science and Pollution Research International</w:t>
      </w:r>
      <w:r w:rsidRPr="00F23BCA">
        <w:rPr>
          <w:rFonts w:asciiTheme="minorEastAsia" w:eastAsiaTheme="minorEastAsia" w:hAnsiTheme="minorEastAsia" w:hint="eastAsia"/>
          <w:sz w:val="20"/>
          <w:szCs w:val="20"/>
          <w:lang w:eastAsia="ko-KR"/>
        </w:rPr>
        <w:t>, vol. 22, pp. 2062-2070, 2015.</w:t>
      </w:r>
    </w:p>
    <w:p w14:paraId="290F5CD7" w14:textId="77777777" w:rsidR="00F23BCA" w:rsidRPr="00F23BCA" w:rsidRDefault="00F23BCA" w:rsidP="00F23BCA">
      <w:pPr>
        <w:pStyle w:val="a9"/>
        <w:jc w:val="both"/>
        <w:rPr>
          <w:rFonts w:asciiTheme="minorEastAsia" w:eastAsiaTheme="minorEastAsia" w:hAnsiTheme="minorEastAsia"/>
          <w:sz w:val="20"/>
          <w:szCs w:val="20"/>
          <w:lang w:eastAsia="ko-KR"/>
        </w:rPr>
      </w:pPr>
    </w:p>
    <w:p w14:paraId="4D697BD9"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sz w:val="20"/>
          <w:szCs w:val="20"/>
          <w:lang w:eastAsia="ko-KR"/>
        </w:rPr>
        <w:t>Ziegler, A., A.S. Jonason, D.J. Leffell, et al., “Sunburn and P53 in the Onset of Skin-Cancer,”</w:t>
      </w:r>
    </w:p>
    <w:p w14:paraId="62C10235" w14:textId="77777777" w:rsidR="00F23BCA" w:rsidRPr="00F23BCA" w:rsidRDefault="00F23BCA" w:rsidP="00F23BCA">
      <w:pPr>
        <w:pStyle w:val="a9"/>
        <w:jc w:val="both"/>
        <w:rPr>
          <w:rFonts w:asciiTheme="minorEastAsia" w:eastAsiaTheme="minorEastAsia" w:hAnsiTheme="minorEastAsia"/>
          <w:sz w:val="20"/>
          <w:szCs w:val="20"/>
          <w:lang w:eastAsia="ko-KR"/>
        </w:rPr>
      </w:pPr>
      <w:r w:rsidRPr="00F23BCA">
        <w:rPr>
          <w:rFonts w:asciiTheme="minorEastAsia" w:eastAsiaTheme="minorEastAsia" w:hAnsiTheme="minorEastAsia" w:hint="eastAsia"/>
          <w:i/>
          <w:sz w:val="20"/>
          <w:szCs w:val="20"/>
          <w:lang w:eastAsia="ko-KR"/>
        </w:rPr>
        <w:t xml:space="preserve">Nature, </w:t>
      </w:r>
      <w:r w:rsidRPr="00F23BCA">
        <w:rPr>
          <w:rFonts w:asciiTheme="minorEastAsia" w:eastAsiaTheme="minorEastAsia" w:hAnsiTheme="minorEastAsia" w:hint="eastAsia"/>
          <w:sz w:val="20"/>
          <w:szCs w:val="20"/>
          <w:lang w:eastAsia="ko-KR"/>
        </w:rPr>
        <w:t>vol. 372(6508), pp. 773-776, 1994.</w:t>
      </w:r>
    </w:p>
    <w:p w14:paraId="7020EBD6" w14:textId="77777777" w:rsidR="00F23BCA" w:rsidRPr="00F23BCA" w:rsidRDefault="00F23BCA" w:rsidP="00F23BCA">
      <w:pPr>
        <w:widowControl/>
        <w:autoSpaceDE/>
        <w:autoSpaceDN/>
        <w:jc w:val="both"/>
        <w:rPr>
          <w:rFonts w:asciiTheme="minorEastAsia" w:eastAsiaTheme="minorEastAsia" w:hAnsiTheme="minorEastAsia"/>
          <w:sz w:val="20"/>
          <w:szCs w:val="20"/>
          <w:lang w:eastAsia="ko-KR"/>
        </w:rPr>
      </w:pPr>
      <w:r w:rsidRPr="00F23BCA">
        <w:rPr>
          <w:rFonts w:asciiTheme="minorEastAsia" w:eastAsiaTheme="minorEastAsia" w:hAnsiTheme="minorEastAsia"/>
          <w:sz w:val="20"/>
          <w:szCs w:val="20"/>
          <w:lang w:eastAsia="ko-KR"/>
        </w:rPr>
        <w:br w:type="page"/>
      </w:r>
    </w:p>
    <w:p w14:paraId="76D91594" w14:textId="77777777" w:rsidR="004C1667" w:rsidRPr="002C7F14" w:rsidRDefault="004C1667" w:rsidP="00F23BCA">
      <w:pPr>
        <w:jc w:val="both"/>
        <w:rPr>
          <w:rFonts w:asciiTheme="minorEastAsia" w:eastAsiaTheme="minorEastAsia" w:hAnsiTheme="minorEastAsia" w:cs="맑은 고딕"/>
          <w:sz w:val="20"/>
          <w:szCs w:val="20"/>
          <w:lang w:eastAsia="ko-KR"/>
        </w:rPr>
      </w:pPr>
    </w:p>
    <w:p w14:paraId="26672612" w14:textId="77777777" w:rsidR="00160DDA" w:rsidRPr="002C7F14" w:rsidRDefault="00160DDA" w:rsidP="003B394A">
      <w:pPr>
        <w:jc w:val="both"/>
        <w:rPr>
          <w:rFonts w:asciiTheme="minorEastAsia" w:eastAsiaTheme="minorEastAsia" w:hAnsiTheme="minorEastAsia" w:cs="맑은 고딕"/>
          <w:sz w:val="20"/>
          <w:szCs w:val="20"/>
          <w:lang w:eastAsia="ko-KR"/>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07"/>
        <w:gridCol w:w="668"/>
      </w:tblGrid>
      <w:tr w:rsidR="004C1667" w:rsidRPr="002C7F14" w14:paraId="41CC0EF3" w14:textId="77777777" w:rsidTr="0059514C">
        <w:trPr>
          <w:trHeight w:val="551"/>
          <w:jc w:val="right"/>
        </w:trPr>
        <w:tc>
          <w:tcPr>
            <w:tcW w:w="2551" w:type="dxa"/>
          </w:tcPr>
          <w:p w14:paraId="4C4628F0" w14:textId="55469981" w:rsidR="004C1667" w:rsidRPr="002C7F14" w:rsidRDefault="004C1667" w:rsidP="0059514C">
            <w:pPr>
              <w:rPr>
                <w:rFonts w:asciiTheme="minorEastAsia" w:eastAsiaTheme="minorEastAsia" w:hAnsiTheme="minorEastAsia" w:cs="맑은 고딕"/>
                <w:b/>
                <w:sz w:val="20"/>
                <w:szCs w:val="20"/>
                <w:lang w:eastAsia="ko-KR"/>
              </w:rPr>
            </w:pPr>
            <w:r w:rsidRPr="002C7F14">
              <w:rPr>
                <w:rFonts w:asciiTheme="minorEastAsia" w:eastAsiaTheme="minorEastAsia" w:hAnsiTheme="minorEastAsia"/>
                <w:b/>
                <w:sz w:val="36"/>
                <w:szCs w:val="20"/>
                <w:lang w:eastAsia="ko-KR"/>
              </w:rPr>
              <w:t>Theresa</w:t>
            </w:r>
            <w:r w:rsidRPr="002C7F14">
              <w:rPr>
                <w:rFonts w:asciiTheme="minorEastAsia" w:eastAsiaTheme="minorEastAsia" w:hAnsiTheme="minorEastAsia"/>
                <w:b/>
                <w:spacing w:val="-35"/>
                <w:sz w:val="36"/>
                <w:szCs w:val="20"/>
                <w:lang w:eastAsia="ko-KR"/>
              </w:rPr>
              <w:t xml:space="preserve"> </w:t>
            </w:r>
            <w:r w:rsidRPr="002C7F14">
              <w:rPr>
                <w:rFonts w:asciiTheme="minorEastAsia" w:eastAsiaTheme="minorEastAsia" w:hAnsiTheme="minorEastAsia"/>
                <w:b/>
                <w:sz w:val="36"/>
                <w:szCs w:val="20"/>
                <w:lang w:eastAsia="ko-KR"/>
              </w:rPr>
              <w:t>M. Michele -S</w:t>
            </w:r>
          </w:p>
        </w:tc>
        <w:tc>
          <w:tcPr>
            <w:tcW w:w="3475" w:type="dxa"/>
            <w:gridSpan w:val="2"/>
          </w:tcPr>
          <w:p w14:paraId="25DBDA9B" w14:textId="77777777" w:rsidR="004C1667" w:rsidRPr="002C7F14" w:rsidRDefault="004C1667" w:rsidP="0059514C">
            <w:pPr>
              <w:spacing w:before="14"/>
              <w:ind w:left="113"/>
              <w:rPr>
                <w:rFonts w:asciiTheme="minorEastAsia" w:eastAsiaTheme="minorEastAsia" w:hAnsiTheme="minorEastAsia"/>
                <w:w w:val="110"/>
                <w:sz w:val="12"/>
                <w:szCs w:val="20"/>
                <w:lang w:eastAsia="ko-KR"/>
              </w:rPr>
            </w:pPr>
            <w:r w:rsidRPr="002C7F14">
              <w:rPr>
                <w:rFonts w:asciiTheme="minorEastAsia" w:eastAsiaTheme="minorEastAsia" w:hAnsiTheme="minorEastAsia"/>
                <w:w w:val="110"/>
                <w:sz w:val="12"/>
                <w:szCs w:val="20"/>
                <w:lang w:eastAsia="ko-KR"/>
              </w:rPr>
              <w:t>Theresa M. Michele -S</w:t>
            </w:r>
            <w:r w:rsidRPr="002C7F14">
              <w:rPr>
                <w:rFonts w:asciiTheme="minorEastAsia" w:eastAsiaTheme="minorEastAsia" w:hAnsiTheme="minorEastAsia" w:hint="eastAsia"/>
                <w:w w:val="110"/>
                <w:sz w:val="12"/>
                <w:szCs w:val="20"/>
                <w:lang w:eastAsia="ko-KR"/>
              </w:rPr>
              <w:t>가</w:t>
            </w:r>
            <w:r w:rsidRPr="002C7F14">
              <w:rPr>
                <w:rFonts w:asciiTheme="minorEastAsia" w:eastAsiaTheme="minorEastAsia" w:hAnsiTheme="minorEastAsia"/>
                <w:w w:val="110"/>
                <w:sz w:val="12"/>
                <w:szCs w:val="20"/>
                <w:lang w:eastAsia="ko-KR"/>
              </w:rPr>
              <w:t xml:space="preserve"> </w:t>
            </w:r>
            <w:r w:rsidRPr="002C7F14">
              <w:rPr>
                <w:rFonts w:asciiTheme="minorEastAsia" w:eastAsiaTheme="minorEastAsia" w:hAnsiTheme="minorEastAsia" w:hint="eastAsia"/>
                <w:w w:val="110"/>
                <w:sz w:val="12"/>
                <w:szCs w:val="20"/>
                <w:lang w:eastAsia="ko-KR"/>
              </w:rPr>
              <w:t>디지털</w:t>
            </w:r>
            <w:r w:rsidRPr="002C7F14">
              <w:rPr>
                <w:rFonts w:asciiTheme="minorEastAsia" w:eastAsiaTheme="minorEastAsia" w:hAnsiTheme="minorEastAsia"/>
                <w:w w:val="110"/>
                <w:sz w:val="12"/>
                <w:szCs w:val="20"/>
                <w:lang w:eastAsia="ko-KR"/>
              </w:rPr>
              <w:t xml:space="preserve"> </w:t>
            </w:r>
            <w:r w:rsidRPr="002C7F14">
              <w:rPr>
                <w:rFonts w:asciiTheme="minorEastAsia" w:eastAsiaTheme="minorEastAsia" w:hAnsiTheme="minorEastAsia" w:hint="eastAsia"/>
                <w:w w:val="110"/>
                <w:sz w:val="12"/>
                <w:szCs w:val="20"/>
                <w:lang w:eastAsia="ko-KR"/>
              </w:rPr>
              <w:t>방식으로</w:t>
            </w:r>
            <w:r w:rsidRPr="002C7F14">
              <w:rPr>
                <w:rFonts w:asciiTheme="minorEastAsia" w:eastAsiaTheme="minorEastAsia" w:hAnsiTheme="minorEastAsia"/>
                <w:w w:val="110"/>
                <w:sz w:val="12"/>
                <w:szCs w:val="20"/>
                <w:lang w:eastAsia="ko-KR"/>
              </w:rPr>
              <w:t xml:space="preserve"> </w:t>
            </w:r>
            <w:r w:rsidRPr="002C7F14">
              <w:rPr>
                <w:rFonts w:asciiTheme="minorEastAsia" w:eastAsiaTheme="minorEastAsia" w:hAnsiTheme="minorEastAsia" w:hint="eastAsia"/>
                <w:w w:val="110"/>
                <w:sz w:val="12"/>
                <w:szCs w:val="20"/>
                <w:lang w:eastAsia="ko-KR"/>
              </w:rPr>
              <w:t>서명함</w:t>
            </w:r>
            <w:r w:rsidRPr="002C7F14">
              <w:rPr>
                <w:rFonts w:asciiTheme="minorEastAsia" w:eastAsiaTheme="minorEastAsia" w:hAnsiTheme="minorEastAsia"/>
                <w:w w:val="110"/>
                <w:sz w:val="12"/>
                <w:szCs w:val="20"/>
                <w:lang w:eastAsia="ko-KR"/>
              </w:rPr>
              <w:t>.</w:t>
            </w:r>
          </w:p>
          <w:p w14:paraId="7E5E215B" w14:textId="77777777" w:rsidR="004C1667" w:rsidRPr="002C7F14" w:rsidRDefault="004C1667" w:rsidP="0059514C">
            <w:pPr>
              <w:spacing w:before="14"/>
              <w:ind w:left="113"/>
              <w:rPr>
                <w:rFonts w:asciiTheme="minorEastAsia" w:eastAsiaTheme="minorEastAsia" w:hAnsiTheme="minorEastAsia"/>
                <w:w w:val="110"/>
                <w:sz w:val="12"/>
                <w:szCs w:val="20"/>
                <w:lang w:eastAsia="ko-KR"/>
              </w:rPr>
            </w:pPr>
            <w:r w:rsidRPr="002C7F14">
              <w:rPr>
                <w:rFonts w:asciiTheme="minorEastAsia" w:eastAsiaTheme="minorEastAsia" w:hAnsiTheme="minorEastAsia"/>
                <w:w w:val="110"/>
                <w:sz w:val="12"/>
                <w:szCs w:val="20"/>
                <w:lang w:eastAsia="ko-KR"/>
              </w:rPr>
              <w:t>DN: c=</w:t>
            </w:r>
            <w:r w:rsidRPr="002C7F14">
              <w:rPr>
                <w:rFonts w:asciiTheme="minorEastAsia" w:eastAsiaTheme="minorEastAsia" w:hAnsiTheme="minorEastAsia" w:hint="eastAsia"/>
                <w:w w:val="110"/>
                <w:sz w:val="12"/>
                <w:szCs w:val="20"/>
                <w:lang w:eastAsia="ko-KR"/>
              </w:rPr>
              <w:t>미국</w:t>
            </w:r>
            <w:r w:rsidRPr="002C7F14">
              <w:rPr>
                <w:rFonts w:asciiTheme="minorEastAsia" w:eastAsiaTheme="minorEastAsia" w:hAnsiTheme="minorEastAsia"/>
                <w:w w:val="110"/>
                <w:sz w:val="12"/>
                <w:szCs w:val="20"/>
                <w:lang w:eastAsia="ko-KR"/>
              </w:rPr>
              <w:t>, o=</w:t>
            </w:r>
            <w:r w:rsidRPr="002C7F14">
              <w:rPr>
                <w:rFonts w:asciiTheme="minorEastAsia" w:eastAsiaTheme="minorEastAsia" w:hAnsiTheme="minorEastAsia" w:hint="eastAsia"/>
                <w:w w:val="110"/>
                <w:sz w:val="12"/>
                <w:szCs w:val="20"/>
                <w:lang w:eastAsia="ko-KR"/>
              </w:rPr>
              <w:t>미국</w:t>
            </w:r>
            <w:r w:rsidRPr="002C7F14">
              <w:rPr>
                <w:rFonts w:asciiTheme="minorEastAsia" w:eastAsiaTheme="minorEastAsia" w:hAnsiTheme="minorEastAsia"/>
                <w:w w:val="110"/>
                <w:sz w:val="12"/>
                <w:szCs w:val="20"/>
                <w:lang w:eastAsia="ko-KR"/>
              </w:rPr>
              <w:t xml:space="preserve"> </w:t>
            </w:r>
            <w:r w:rsidRPr="002C7F14">
              <w:rPr>
                <w:rFonts w:asciiTheme="minorEastAsia" w:eastAsiaTheme="minorEastAsia" w:hAnsiTheme="minorEastAsia" w:hint="eastAsia"/>
                <w:w w:val="110"/>
                <w:sz w:val="12"/>
                <w:szCs w:val="20"/>
                <w:lang w:eastAsia="ko-KR"/>
              </w:rPr>
              <w:t>정부</w:t>
            </w:r>
            <w:r w:rsidRPr="002C7F14">
              <w:rPr>
                <w:rFonts w:asciiTheme="minorEastAsia" w:eastAsiaTheme="minorEastAsia" w:hAnsiTheme="minorEastAsia"/>
                <w:w w:val="110"/>
                <w:sz w:val="12"/>
                <w:szCs w:val="20"/>
                <w:lang w:eastAsia="ko-KR"/>
              </w:rPr>
              <w:t>, ou=HHS, ou=FDA, ou=</w:t>
            </w:r>
            <w:r w:rsidRPr="002C7F14">
              <w:rPr>
                <w:rFonts w:asciiTheme="minorEastAsia" w:eastAsiaTheme="minorEastAsia" w:hAnsiTheme="minorEastAsia" w:hint="eastAsia"/>
                <w:w w:val="110"/>
                <w:sz w:val="12"/>
                <w:szCs w:val="20"/>
                <w:lang w:eastAsia="ko-KR"/>
              </w:rPr>
              <w:t>국민</w:t>
            </w:r>
            <w:r w:rsidRPr="002C7F14">
              <w:rPr>
                <w:rFonts w:asciiTheme="minorEastAsia" w:eastAsiaTheme="minorEastAsia" w:hAnsiTheme="minorEastAsia"/>
                <w:w w:val="110"/>
                <w:sz w:val="12"/>
                <w:szCs w:val="20"/>
                <w:lang w:eastAsia="ko-KR"/>
              </w:rPr>
              <w:t>,</w:t>
            </w:r>
          </w:p>
          <w:p w14:paraId="7C3290F9" w14:textId="77777777" w:rsidR="004C1667" w:rsidRPr="002C7F14" w:rsidRDefault="004C1667" w:rsidP="0059514C">
            <w:pPr>
              <w:spacing w:before="14"/>
              <w:ind w:left="113"/>
              <w:rPr>
                <w:rFonts w:asciiTheme="minorEastAsia" w:eastAsiaTheme="minorEastAsia" w:hAnsiTheme="minorEastAsia"/>
                <w:w w:val="110"/>
                <w:sz w:val="12"/>
                <w:szCs w:val="20"/>
                <w:lang w:eastAsia="ko-KR"/>
              </w:rPr>
            </w:pPr>
            <w:r w:rsidRPr="002C7F14">
              <w:rPr>
                <w:rFonts w:asciiTheme="minorEastAsia" w:eastAsiaTheme="minorEastAsia" w:hAnsiTheme="minorEastAsia"/>
                <w:w w:val="110"/>
                <w:sz w:val="12"/>
                <w:szCs w:val="20"/>
                <w:lang w:eastAsia="ko-KR"/>
              </w:rPr>
              <w:t>0.9.2342.19200300.100.1.1=1300428996,</w:t>
            </w:r>
          </w:p>
          <w:p w14:paraId="3AF09678" w14:textId="77777777" w:rsidR="004C1667" w:rsidRPr="002C7F14" w:rsidRDefault="004C1667" w:rsidP="0059514C">
            <w:pPr>
              <w:spacing w:before="14"/>
              <w:ind w:left="113"/>
              <w:rPr>
                <w:rFonts w:asciiTheme="minorEastAsia" w:eastAsiaTheme="minorEastAsia" w:hAnsiTheme="minorEastAsia"/>
                <w:w w:val="110"/>
                <w:sz w:val="12"/>
                <w:szCs w:val="20"/>
                <w:lang w:eastAsia="ko-KR"/>
              </w:rPr>
            </w:pPr>
            <w:r w:rsidRPr="002C7F14">
              <w:rPr>
                <w:rFonts w:asciiTheme="minorEastAsia" w:eastAsiaTheme="minorEastAsia" w:hAnsiTheme="minorEastAsia"/>
                <w:w w:val="110"/>
                <w:sz w:val="12"/>
                <w:szCs w:val="20"/>
                <w:lang w:eastAsia="ko-KR"/>
              </w:rPr>
              <w:t>cn=Theresa M. Michele -S</w:t>
            </w:r>
          </w:p>
          <w:p w14:paraId="3A9D5B80" w14:textId="4EE55DB0" w:rsidR="004C1667" w:rsidRPr="002C7F14" w:rsidRDefault="004C1667" w:rsidP="0059514C">
            <w:pPr>
              <w:spacing w:before="14"/>
              <w:ind w:left="113"/>
              <w:rPr>
                <w:rFonts w:asciiTheme="minorEastAsia" w:eastAsiaTheme="minorEastAsia" w:hAnsiTheme="minorEastAsia"/>
                <w:sz w:val="12"/>
                <w:szCs w:val="20"/>
                <w:lang w:eastAsia="ko-KR"/>
              </w:rPr>
            </w:pPr>
            <w:r w:rsidRPr="002C7F14">
              <w:rPr>
                <w:rFonts w:asciiTheme="minorEastAsia" w:eastAsiaTheme="minorEastAsia" w:hAnsiTheme="minorEastAsia" w:hint="eastAsia"/>
                <w:w w:val="110"/>
                <w:sz w:val="12"/>
                <w:szCs w:val="20"/>
                <w:lang w:eastAsia="ko-KR"/>
              </w:rPr>
              <w:t>날짜</w:t>
            </w:r>
            <w:r w:rsidRPr="002C7F14">
              <w:rPr>
                <w:rFonts w:asciiTheme="minorEastAsia" w:eastAsiaTheme="minorEastAsia" w:hAnsiTheme="minorEastAsia"/>
                <w:w w:val="110"/>
                <w:sz w:val="12"/>
                <w:szCs w:val="20"/>
                <w:lang w:eastAsia="ko-KR"/>
              </w:rPr>
              <w:t>: 2021</w:t>
            </w:r>
            <w:r w:rsidRPr="002C7F14">
              <w:rPr>
                <w:rFonts w:asciiTheme="minorEastAsia" w:eastAsiaTheme="minorEastAsia" w:hAnsiTheme="minorEastAsia" w:hint="eastAsia"/>
                <w:w w:val="110"/>
                <w:sz w:val="12"/>
                <w:szCs w:val="20"/>
                <w:lang w:eastAsia="ko-KR"/>
              </w:rPr>
              <w:t>년</w:t>
            </w:r>
            <w:r w:rsidRPr="002C7F14">
              <w:rPr>
                <w:rFonts w:asciiTheme="minorEastAsia" w:eastAsiaTheme="minorEastAsia" w:hAnsiTheme="minorEastAsia"/>
                <w:w w:val="110"/>
                <w:sz w:val="12"/>
                <w:szCs w:val="20"/>
                <w:lang w:eastAsia="ko-KR"/>
              </w:rPr>
              <w:t xml:space="preserve"> 9</w:t>
            </w:r>
            <w:r w:rsidRPr="002C7F14">
              <w:rPr>
                <w:rFonts w:asciiTheme="minorEastAsia" w:eastAsiaTheme="minorEastAsia" w:hAnsiTheme="minorEastAsia" w:hint="eastAsia"/>
                <w:w w:val="110"/>
                <w:sz w:val="12"/>
                <w:szCs w:val="20"/>
                <w:lang w:eastAsia="ko-KR"/>
              </w:rPr>
              <w:t>월</w:t>
            </w:r>
            <w:r w:rsidRPr="002C7F14">
              <w:rPr>
                <w:rFonts w:asciiTheme="minorEastAsia" w:eastAsiaTheme="minorEastAsia" w:hAnsiTheme="minorEastAsia"/>
                <w:w w:val="110"/>
                <w:sz w:val="12"/>
                <w:szCs w:val="20"/>
                <w:lang w:eastAsia="ko-KR"/>
              </w:rPr>
              <w:t xml:space="preserve"> 24</w:t>
            </w:r>
            <w:r w:rsidRPr="002C7F14">
              <w:rPr>
                <w:rFonts w:asciiTheme="minorEastAsia" w:eastAsiaTheme="minorEastAsia" w:hAnsiTheme="minorEastAsia" w:hint="eastAsia"/>
                <w:w w:val="110"/>
                <w:sz w:val="12"/>
                <w:szCs w:val="20"/>
                <w:lang w:eastAsia="ko-KR"/>
              </w:rPr>
              <w:t>일</w:t>
            </w:r>
            <w:r w:rsidRPr="002C7F14">
              <w:rPr>
                <w:rFonts w:asciiTheme="minorEastAsia" w:eastAsiaTheme="minorEastAsia" w:hAnsiTheme="minorEastAsia"/>
                <w:w w:val="110"/>
                <w:sz w:val="12"/>
                <w:szCs w:val="20"/>
                <w:lang w:eastAsia="ko-KR"/>
              </w:rPr>
              <w:t xml:space="preserve"> 06:55:36 -04'00'</w:t>
            </w:r>
          </w:p>
        </w:tc>
      </w:tr>
      <w:tr w:rsidR="004C1667" w:rsidRPr="002C7F14" w14:paraId="70B79196" w14:textId="77777777" w:rsidTr="0059514C">
        <w:trPr>
          <w:gridAfter w:val="1"/>
          <w:wAfter w:w="668" w:type="dxa"/>
          <w:trHeight w:val="551"/>
          <w:jc w:val="right"/>
        </w:trPr>
        <w:tc>
          <w:tcPr>
            <w:tcW w:w="5358" w:type="dxa"/>
            <w:gridSpan w:val="2"/>
          </w:tcPr>
          <w:p w14:paraId="7B336864" w14:textId="77777777" w:rsidR="004C1667" w:rsidRPr="002C7F14" w:rsidRDefault="004C1667" w:rsidP="0059514C">
            <w:pPr>
              <w:pStyle w:val="a9"/>
              <w:ind w:leftChars="79" w:left="174"/>
              <w:jc w:val="both"/>
              <w:rPr>
                <w:rFonts w:asciiTheme="minorEastAsia" w:eastAsiaTheme="minorEastAsia" w:hAnsiTheme="minorEastAsia"/>
                <w:sz w:val="18"/>
                <w:szCs w:val="20"/>
                <w:lang w:eastAsia="ko-KR"/>
              </w:rPr>
            </w:pPr>
            <w:r w:rsidRPr="002C7F14">
              <w:rPr>
                <w:rFonts w:asciiTheme="minorEastAsia" w:eastAsiaTheme="minorEastAsia" w:hAnsiTheme="minorEastAsia"/>
                <w:sz w:val="18"/>
                <w:szCs w:val="20"/>
                <w:lang w:eastAsia="ko-KR"/>
              </w:rPr>
              <w:t>Theresa</w:t>
            </w:r>
            <w:r w:rsidRPr="002C7F14">
              <w:rPr>
                <w:rFonts w:asciiTheme="minorEastAsia" w:eastAsiaTheme="minorEastAsia" w:hAnsiTheme="minorEastAsia"/>
                <w:spacing w:val="-5"/>
                <w:sz w:val="18"/>
                <w:szCs w:val="20"/>
                <w:lang w:eastAsia="ko-KR"/>
              </w:rPr>
              <w:t xml:space="preserve"> </w:t>
            </w:r>
            <w:r w:rsidRPr="002C7F14">
              <w:rPr>
                <w:rFonts w:asciiTheme="minorEastAsia" w:eastAsiaTheme="minorEastAsia" w:hAnsiTheme="minorEastAsia"/>
                <w:sz w:val="18"/>
                <w:szCs w:val="20"/>
                <w:lang w:eastAsia="ko-KR"/>
              </w:rPr>
              <w:t>M.</w:t>
            </w:r>
            <w:r w:rsidRPr="002C7F14">
              <w:rPr>
                <w:rFonts w:asciiTheme="minorEastAsia" w:eastAsiaTheme="minorEastAsia" w:hAnsiTheme="minorEastAsia"/>
                <w:spacing w:val="-4"/>
                <w:sz w:val="18"/>
                <w:szCs w:val="20"/>
                <w:lang w:eastAsia="ko-KR"/>
              </w:rPr>
              <w:t xml:space="preserve"> </w:t>
            </w:r>
            <w:r w:rsidRPr="002C7F14">
              <w:rPr>
                <w:rFonts w:asciiTheme="minorEastAsia" w:eastAsiaTheme="minorEastAsia" w:hAnsiTheme="minorEastAsia"/>
                <w:sz w:val="18"/>
                <w:szCs w:val="20"/>
                <w:lang w:eastAsia="ko-KR"/>
              </w:rPr>
              <w:t>Michele,</w:t>
            </w:r>
            <w:r w:rsidRPr="002C7F14">
              <w:rPr>
                <w:rFonts w:asciiTheme="minorEastAsia" w:eastAsiaTheme="minorEastAsia" w:hAnsiTheme="minorEastAsia"/>
                <w:spacing w:val="-4"/>
                <w:sz w:val="18"/>
                <w:szCs w:val="20"/>
                <w:lang w:eastAsia="ko-KR"/>
              </w:rPr>
              <w:t xml:space="preserve"> </w:t>
            </w:r>
            <w:r w:rsidRPr="002C7F14">
              <w:rPr>
                <w:rFonts w:asciiTheme="minorEastAsia" w:eastAsiaTheme="minorEastAsia" w:hAnsiTheme="minorEastAsia"/>
                <w:spacing w:val="-5"/>
                <w:sz w:val="18"/>
                <w:szCs w:val="20"/>
                <w:lang w:eastAsia="ko-KR"/>
              </w:rPr>
              <w:t>MD</w:t>
            </w:r>
          </w:p>
          <w:p w14:paraId="7E38AB6D" w14:textId="27AAF19A" w:rsidR="004C1667" w:rsidRPr="002C7F14" w:rsidRDefault="004C1667" w:rsidP="0059514C">
            <w:pPr>
              <w:pStyle w:val="a9"/>
              <w:ind w:leftChars="79" w:left="174" w:right="882"/>
              <w:jc w:val="both"/>
              <w:rPr>
                <w:rFonts w:asciiTheme="minorEastAsia" w:eastAsiaTheme="minorEastAsia" w:hAnsiTheme="minorEastAsia"/>
                <w:sz w:val="18"/>
                <w:szCs w:val="20"/>
                <w:lang w:eastAsia="ko-KR"/>
              </w:rPr>
            </w:pPr>
            <w:r w:rsidRPr="002C7F14">
              <w:rPr>
                <w:rFonts w:asciiTheme="minorEastAsia" w:eastAsiaTheme="minorEastAsia" w:hAnsiTheme="minorEastAsia" w:hint="eastAsia"/>
                <w:sz w:val="18"/>
                <w:szCs w:val="20"/>
                <w:lang w:eastAsia="ko-KR"/>
              </w:rPr>
              <w:t>비처방의약품사무국</w:t>
            </w:r>
            <w:r w:rsidRPr="002C7F14">
              <w:rPr>
                <w:rFonts w:asciiTheme="minorEastAsia" w:eastAsiaTheme="minorEastAsia" w:hAnsiTheme="minorEastAsia"/>
                <w:sz w:val="18"/>
                <w:szCs w:val="20"/>
                <w:lang w:eastAsia="ko-KR"/>
              </w:rPr>
              <w:t xml:space="preserve">, </w:t>
            </w:r>
            <w:r w:rsidRPr="002C7F14">
              <w:rPr>
                <w:rFonts w:asciiTheme="minorEastAsia" w:eastAsiaTheme="minorEastAsia" w:hAnsiTheme="minorEastAsia" w:hint="eastAsia"/>
                <w:sz w:val="18"/>
                <w:szCs w:val="20"/>
                <w:lang w:eastAsia="ko-KR"/>
              </w:rPr>
              <w:t>국장</w:t>
            </w:r>
          </w:p>
          <w:p w14:paraId="5F157267" w14:textId="77777777" w:rsidR="004C1667" w:rsidRPr="002C7F14" w:rsidRDefault="004C1667" w:rsidP="0059514C">
            <w:pPr>
              <w:pStyle w:val="a9"/>
              <w:ind w:leftChars="79" w:left="174" w:right="882"/>
              <w:jc w:val="both"/>
              <w:rPr>
                <w:rFonts w:asciiTheme="minorEastAsia" w:eastAsiaTheme="minorEastAsia" w:hAnsiTheme="minorEastAsia"/>
                <w:sz w:val="18"/>
                <w:szCs w:val="20"/>
                <w:lang w:eastAsia="ko-KR"/>
              </w:rPr>
            </w:pPr>
            <w:r w:rsidRPr="002C7F14">
              <w:rPr>
                <w:rFonts w:asciiTheme="minorEastAsia" w:eastAsiaTheme="minorEastAsia" w:hAnsiTheme="minorEastAsia" w:hint="eastAsia"/>
                <w:sz w:val="18"/>
                <w:szCs w:val="20"/>
                <w:lang w:eastAsia="ko-KR"/>
              </w:rPr>
              <w:t>의약품평가연구센터</w:t>
            </w:r>
          </w:p>
          <w:p w14:paraId="0A68C76F" w14:textId="54D2B25B" w:rsidR="004C1667" w:rsidRPr="002C7F14" w:rsidRDefault="004C1667" w:rsidP="0059514C">
            <w:pPr>
              <w:ind w:leftChars="79" w:left="174"/>
              <w:jc w:val="both"/>
              <w:rPr>
                <w:rFonts w:asciiTheme="minorEastAsia" w:eastAsiaTheme="minorEastAsia" w:hAnsiTheme="minorEastAsia" w:cs="맑은 고딕"/>
                <w:sz w:val="20"/>
                <w:szCs w:val="20"/>
                <w:lang w:eastAsia="ko-KR"/>
              </w:rPr>
            </w:pPr>
            <w:r w:rsidRPr="002C7F14">
              <w:rPr>
                <w:rFonts w:asciiTheme="minorEastAsia" w:eastAsiaTheme="minorEastAsia" w:hAnsiTheme="minorEastAsia"/>
                <w:sz w:val="18"/>
                <w:szCs w:val="20"/>
                <w:lang w:eastAsia="ko-KR"/>
              </w:rPr>
              <w:t>2021</w:t>
            </w:r>
            <w:r w:rsidRPr="002C7F14">
              <w:rPr>
                <w:rFonts w:asciiTheme="minorEastAsia" w:eastAsiaTheme="minorEastAsia" w:hAnsiTheme="minorEastAsia" w:hint="eastAsia"/>
                <w:sz w:val="18"/>
                <w:szCs w:val="20"/>
                <w:lang w:eastAsia="ko-KR"/>
              </w:rPr>
              <w:t>년</w:t>
            </w:r>
            <w:r w:rsidRPr="002C7F14">
              <w:rPr>
                <w:rFonts w:asciiTheme="minorEastAsia" w:eastAsiaTheme="minorEastAsia" w:hAnsiTheme="minorEastAsia"/>
                <w:sz w:val="18"/>
                <w:szCs w:val="20"/>
                <w:lang w:eastAsia="ko-KR"/>
              </w:rPr>
              <w:t xml:space="preserve"> 9</w:t>
            </w:r>
            <w:r w:rsidRPr="002C7F14">
              <w:rPr>
                <w:rFonts w:asciiTheme="minorEastAsia" w:eastAsiaTheme="minorEastAsia" w:hAnsiTheme="minorEastAsia" w:hint="eastAsia"/>
                <w:sz w:val="18"/>
                <w:szCs w:val="20"/>
                <w:lang w:eastAsia="ko-KR"/>
              </w:rPr>
              <w:t>월</w:t>
            </w:r>
            <w:r w:rsidRPr="002C7F14">
              <w:rPr>
                <w:rFonts w:asciiTheme="minorEastAsia" w:eastAsiaTheme="minorEastAsia" w:hAnsiTheme="minorEastAsia"/>
                <w:sz w:val="18"/>
                <w:szCs w:val="20"/>
                <w:lang w:eastAsia="ko-KR"/>
              </w:rPr>
              <w:t xml:space="preserve"> 24</w:t>
            </w:r>
            <w:r w:rsidRPr="002C7F14">
              <w:rPr>
                <w:rFonts w:asciiTheme="minorEastAsia" w:eastAsiaTheme="minorEastAsia" w:hAnsiTheme="minorEastAsia" w:hint="eastAsia"/>
                <w:sz w:val="18"/>
                <w:szCs w:val="20"/>
                <w:lang w:eastAsia="ko-KR"/>
              </w:rPr>
              <w:t>일</w:t>
            </w:r>
          </w:p>
        </w:tc>
      </w:tr>
    </w:tbl>
    <w:p w14:paraId="3E844DD7" w14:textId="77777777" w:rsidR="00160DDA" w:rsidRPr="002C7F14" w:rsidRDefault="00160DDA" w:rsidP="003B394A">
      <w:pPr>
        <w:jc w:val="both"/>
        <w:rPr>
          <w:rFonts w:asciiTheme="minorEastAsia" w:eastAsiaTheme="minorEastAsia" w:hAnsiTheme="minorEastAsia" w:cs="맑은 고딕"/>
          <w:sz w:val="20"/>
          <w:szCs w:val="20"/>
          <w:lang w:eastAsia="ko-KR"/>
        </w:rPr>
      </w:pPr>
    </w:p>
    <w:p w14:paraId="54DD22E9" w14:textId="77777777" w:rsidR="00160DDA" w:rsidRPr="002C7F14" w:rsidRDefault="00160DDA" w:rsidP="003B394A">
      <w:pPr>
        <w:jc w:val="both"/>
        <w:rPr>
          <w:rFonts w:asciiTheme="minorEastAsia" w:eastAsiaTheme="minorEastAsia" w:hAnsiTheme="minorEastAsia" w:cs="맑은 고딕"/>
          <w:sz w:val="20"/>
          <w:szCs w:val="20"/>
          <w:lang w:eastAsia="ko-KR"/>
        </w:rPr>
      </w:pPr>
    </w:p>
    <w:sectPr w:rsidR="00160DDA" w:rsidRPr="002C7F14" w:rsidSect="00EF791F">
      <w:headerReference w:type="default" r:id="rId103"/>
      <w:pgSz w:w="11906" w:h="16838"/>
      <w:pgMar w:top="1440" w:right="1080" w:bottom="1440" w:left="1080" w:header="567" w:footer="567" w:gutter="0"/>
      <w:pgNumType w:start="2"/>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AA465" w14:textId="77777777" w:rsidR="00547BAE" w:rsidRDefault="00547BAE" w:rsidP="003C5F02">
      <w:r>
        <w:separator/>
      </w:r>
    </w:p>
  </w:endnote>
  <w:endnote w:type="continuationSeparator" w:id="0">
    <w:p w14:paraId="637E99E5" w14:textId="77777777" w:rsidR="00547BAE" w:rsidRDefault="00547BAE" w:rsidP="003C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oPub바탕체 Light">
    <w:altName w:val="바탕"/>
    <w:charset w:val="81"/>
    <w:family w:val="roman"/>
    <w:pitch w:val="variable"/>
    <w:sig w:usb0="800002A7" w:usb1="29D77CFB"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B61AB" w14:textId="77777777" w:rsidR="00547BAE" w:rsidRDefault="00547BAE" w:rsidP="003C5F02">
      <w:r>
        <w:separator/>
      </w:r>
    </w:p>
  </w:footnote>
  <w:footnote w:type="continuationSeparator" w:id="0">
    <w:p w14:paraId="22349C3F" w14:textId="77777777" w:rsidR="00547BAE" w:rsidRDefault="00547BAE" w:rsidP="003C5F02">
      <w:r>
        <w:continuationSeparator/>
      </w:r>
    </w:p>
  </w:footnote>
  <w:footnote w:id="1">
    <w:p w14:paraId="054ED365" w14:textId="34F5D749" w:rsidR="00547BAE" w:rsidRDefault="00547BAE" w:rsidP="00EF791F">
      <w:pPr>
        <w:pStyle w:val="a9"/>
        <w:spacing w:line="264" w:lineRule="auto"/>
        <w:jc w:val="both"/>
        <w:rPr>
          <w:lang w:eastAsia="ko-KR"/>
        </w:rPr>
      </w:pPr>
      <w:r w:rsidRPr="0068751E">
        <w:rPr>
          <w:rFonts w:asciiTheme="minorEastAsia" w:eastAsiaTheme="minorEastAsia" w:hAnsiTheme="minorEastAsia"/>
          <w:sz w:val="16"/>
          <w:vertAlign w:val="superscript"/>
          <w:lang w:eastAsia="ko-KR"/>
        </w:rPr>
        <w:footnoteRef/>
      </w:r>
      <w:r w:rsidRPr="0068751E">
        <w:rPr>
          <w:rFonts w:asciiTheme="minorEastAsia" w:eastAsiaTheme="minorEastAsia" w:hAnsiTheme="minorEastAsia"/>
          <w:sz w:val="16"/>
          <w:lang w:eastAsia="ko-KR"/>
        </w:rPr>
        <w:t xml:space="preserve"> </w:t>
      </w:r>
      <w:r w:rsidRPr="0068751E">
        <w:rPr>
          <w:rFonts w:asciiTheme="minorEastAsia" w:eastAsiaTheme="minorEastAsia" w:hAnsiTheme="minorEastAsia" w:hint="eastAsia"/>
          <w:sz w:val="16"/>
          <w:lang w:eastAsia="ko-KR"/>
        </w:rPr>
        <w:t>다른 모노그래프 조항도 적용되는 비처방 자외선 차단 의약품을 다루기 위해, 이 명령안은 OTC 모노그래프 M016: 인체용 OTC 피부 보호 의약품을 개정하고 수정하며, 비(非)모노그래프 조건 NM020: 인체용 OTC 자외선 차단 의약품에서 GRASE가 아닌 자외선차단제를 식별하는 기존 및 새로운 조항을 통합할 것을 제안한다.</w:t>
      </w:r>
    </w:p>
  </w:footnote>
  <w:footnote w:id="2">
    <w:p w14:paraId="5046A103" w14:textId="72D781D7" w:rsidR="00547BAE" w:rsidRPr="00EF791F" w:rsidRDefault="00547BAE" w:rsidP="00EF791F">
      <w:pPr>
        <w:pStyle w:val="a9"/>
        <w:spacing w:line="264" w:lineRule="auto"/>
        <w:jc w:val="both"/>
        <w:rPr>
          <w:rFonts w:asciiTheme="minorEastAsia" w:eastAsiaTheme="minorEastAsia" w:hAnsiTheme="minorEastAsia"/>
          <w:sz w:val="16"/>
          <w:szCs w:val="16"/>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 xml:space="preserve">연방관보 84권 6204 페이지(2019년 2월 26일). 2019년 규칙안은 "FDA는 특정 활성성분 안전 문제를 추가로 고려하고 있다... 향후 규칙제정에서 개별 </w:t>
      </w:r>
      <w:r w:rsidRPr="00EF791F">
        <w:rPr>
          <w:rFonts w:asciiTheme="minorEastAsia" w:eastAsiaTheme="minorEastAsia" w:hAnsiTheme="minorEastAsia" w:hint="eastAsia"/>
          <w:sz w:val="16"/>
          <w:lang w:eastAsia="ko-KR"/>
        </w:rPr>
        <w:t>자외선차단제</w:t>
      </w:r>
      <w:r w:rsidRPr="00EF791F">
        <w:rPr>
          <w:rFonts w:asciiTheme="minorEastAsia" w:eastAsiaTheme="minorEastAsia" w:hAnsiTheme="minorEastAsia" w:hint="eastAsia"/>
          <w:sz w:val="16"/>
          <w:szCs w:val="16"/>
          <w:lang w:eastAsia="ko-KR"/>
        </w:rPr>
        <w:t xml:space="preserve"> </w:t>
      </w:r>
      <w:r w:rsidRPr="00EF791F">
        <w:rPr>
          <w:rFonts w:asciiTheme="minorEastAsia" w:eastAsiaTheme="minorEastAsia" w:hAnsiTheme="minorEastAsia" w:hint="eastAsia"/>
          <w:sz w:val="16"/>
          <w:lang w:eastAsia="ko-KR"/>
        </w:rPr>
        <w:t>활성성분의</w:t>
      </w:r>
      <w:r w:rsidRPr="00EF791F">
        <w:rPr>
          <w:rFonts w:asciiTheme="minorEastAsia" w:eastAsiaTheme="minorEastAsia" w:hAnsiTheme="minorEastAsia" w:hint="eastAsia"/>
          <w:sz w:val="16"/>
          <w:szCs w:val="16"/>
          <w:lang w:eastAsia="ko-KR"/>
        </w:rPr>
        <w:t xml:space="preserve"> 안전에 대한 추가 데이터를 요청할 계획이다"라는 내용의 2011년 FDA 공고("개정된 효과 측정; 인체용 일반의약품 자외선 차단 의약품"(2011년 Max SPF PR), 연방관보 76권 35672~35673 페이지, 2011년 6월 17일)에서 비롯되었다.</w:t>
      </w:r>
    </w:p>
  </w:footnote>
  <w:footnote w:id="3">
    <w:p w14:paraId="1056DC61" w14:textId="46A92555" w:rsidR="00547BAE" w:rsidRPr="00EF791F" w:rsidRDefault="00547BAE" w:rsidP="00EF791F">
      <w:pPr>
        <w:pStyle w:val="a9"/>
        <w:spacing w:line="264" w:lineRule="auto"/>
        <w:jc w:val="both"/>
        <w:rPr>
          <w:rFonts w:asciiTheme="minorEastAsia" w:eastAsiaTheme="minorEastAsia" w:hAnsiTheme="minorEastAsia"/>
          <w:sz w:val="16"/>
          <w:szCs w:val="16"/>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이러한 제안에는 연방규정 제21편 제201.327조에 성문화된 라벨링 조항을 비롯하여 여러 관련 규정에 대해 제안된 변경사항 및 신약 규정이 포함되었다.</w:t>
      </w:r>
    </w:p>
  </w:footnote>
  <w:footnote w:id="4">
    <w:p w14:paraId="2B08C8A2" w14:textId="571FC3D4" w:rsidR="00547BAE" w:rsidRPr="00EF791F" w:rsidRDefault="00547BAE" w:rsidP="00EF791F">
      <w:pPr>
        <w:pStyle w:val="a9"/>
        <w:spacing w:line="264" w:lineRule="auto"/>
        <w:jc w:val="both"/>
        <w:rPr>
          <w:rFonts w:eastAsiaTheme="minorEastAsia"/>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 xml:space="preserve">구체적으로, 2019년 규칙안은 아미노벤조산(PABA), 아보벤존, 시녹세이트, 디옥시벤존, 엔술리졸, 호모살레이트, 메라디메이트, 옥티녹세이트, 옥티살레이트, 옥토크릴렌, 옥시벤존, 파디메이트 O, 술리소벤존, 이산화티타늄, 트롤아민 살리실레이트 및 산화아연의 16가지 활성성분(현재 최종간주명령에서 다루는 활성성분과 동일함) 중 하나 이상을 함유한 자외선차단제의 안전성에 대한 사용 가능한 데이터를 다루었다. 2019년 규칙안 또는 이 명령안은 이 16가지 활성성분이 자외선차단제의 효과에 대한 기여를 재검토하지 않는다. 마찬가지로 상기의 어떤 문서도 원래 연방규정 제21편 제330.14조("시간 및 범위 신청"(TEA) 규정)(TEA 성분)에 따른 규정된 절차에 따라 제출되었고 자외선차단제혁신법(SIA)에 의해 제정된 FD&amp;C법의 제586C조(미국법전 제21편 제360fff–3조)에 따라 발생된 명령안의 대상이었던 8가지 자외선차단제 활성성분을 함유한 자외선차단제를 다루지 않는다. (이러한 각 성분에 대한 FDA의 자외선차단제 명령안은 </w:t>
      </w:r>
      <w:hyperlink r:id="rId1">
        <w:r w:rsidRPr="00EF791F">
          <w:rPr>
            <w:rFonts w:asciiTheme="minorEastAsia" w:eastAsiaTheme="minorEastAsia" w:hAnsiTheme="minorEastAsia" w:hint="eastAsia"/>
            <w:color w:val="0000FF"/>
            <w:sz w:val="16"/>
            <w:szCs w:val="16"/>
            <w:u w:val="single" w:color="0000FF"/>
            <w:lang w:eastAsia="ko-KR"/>
          </w:rPr>
          <w:t>https://www.fda.gov/drugs/guidance-compliance-regulatory-information/regulatory-</w:t>
        </w:r>
      </w:hyperlink>
      <w:r w:rsidRPr="00EF791F">
        <w:rPr>
          <w:rFonts w:asciiTheme="minorEastAsia" w:eastAsiaTheme="minorEastAsia" w:hAnsiTheme="minorEastAsia" w:hint="eastAsia"/>
          <w:color w:val="0000FF"/>
          <w:sz w:val="16"/>
          <w:szCs w:val="16"/>
          <w:lang w:eastAsia="ko-KR"/>
        </w:rPr>
        <w:t xml:space="preserve"> </w:t>
      </w:r>
      <w:hyperlink r:id="rId2">
        <w:r w:rsidRPr="00EF791F">
          <w:rPr>
            <w:rFonts w:asciiTheme="minorEastAsia" w:eastAsiaTheme="minorEastAsia" w:hAnsiTheme="minorEastAsia" w:hint="eastAsia"/>
            <w:color w:val="0000FF"/>
            <w:sz w:val="16"/>
            <w:szCs w:val="16"/>
            <w:u w:val="single" w:color="0000FF"/>
            <w:lang w:eastAsia="ko-KR"/>
          </w:rPr>
          <w:t>policy-information-sunscreen-innovation-act</w:t>
        </w:r>
      </w:hyperlink>
      <w:r w:rsidRPr="00EF791F">
        <w:rPr>
          <w:rFonts w:asciiTheme="minorEastAsia" w:eastAsiaTheme="minorEastAsia" w:hAnsiTheme="minorEastAsia" w:hint="eastAsia"/>
          <w:sz w:val="16"/>
          <w:szCs w:val="16"/>
          <w:lang w:eastAsia="ko-KR"/>
        </w:rPr>
        <w:t>에서 확인할 수 있다.) 이러한 성분 또는 성분 조합에 대한 검토를 FD&amp;C법 제505G조에 명시된 절차로 전환하기 위해 CARES 법 제3854(a)(1)조에서 제공하는 선택권을 적시에 행사한 의뢰자는 없었다. SIA에 따라 TEA 성분이 CRASE라는 최종 명령이 발행되지 않은 경우, 이 8가지 활성성분을 포함한 자외선차단제를 시판하기 위해서는 신약 신청(NDA)이 필요하다.</w:t>
      </w:r>
    </w:p>
  </w:footnote>
  <w:footnote w:id="5">
    <w:p w14:paraId="7AB7E387" w14:textId="22D79A2C" w:rsidR="00547BAE" w:rsidRPr="00EF791F" w:rsidRDefault="00547BAE" w:rsidP="00EF791F">
      <w:pPr>
        <w:pStyle w:val="a9"/>
        <w:spacing w:line="264" w:lineRule="auto"/>
        <w:jc w:val="both"/>
        <w:rPr>
          <w:rFonts w:asciiTheme="minorEastAsia" w:eastAsiaTheme="minorEastAsia" w:hAnsiTheme="minorEastAsia"/>
          <w:sz w:val="16"/>
          <w:szCs w:val="16"/>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제505G(a)(1)(A)(i)조 및 제505G(a)(2)조. 단, 제505G(m)(2)조 및 이 문서의 섹션 VI.E.i.2를 참조한다. CARES법이 통과되기 전에는 승인된 신청 없이 시판된 자외선차단제가 2011년에 초안 형태로 발행되어 2018년에 확정된 집행 정책 지침(집행 정책—</w:t>
      </w:r>
      <w:r w:rsidRPr="00EF791F">
        <w:rPr>
          <w:rFonts w:asciiTheme="minorEastAsia" w:eastAsiaTheme="minorEastAsia" w:hAnsiTheme="minorEastAsia" w:cs="KoPub바탕체 Light" w:hint="eastAsia"/>
          <w:sz w:val="16"/>
          <w:szCs w:val="16"/>
          <w:lang w:eastAsia="ko-KR"/>
        </w:rPr>
        <w:t>승인된</w:t>
      </w:r>
      <w:r w:rsidRPr="00EF791F">
        <w:rPr>
          <w:rFonts w:asciiTheme="minorEastAsia" w:eastAsiaTheme="minorEastAsia" w:hAnsiTheme="minorEastAsia" w:hint="eastAsia"/>
          <w:sz w:val="16"/>
          <w:szCs w:val="16"/>
          <w:lang w:eastAsia="ko-KR"/>
        </w:rPr>
        <w:t xml:space="preserve"> 신청 없이 시판되는 OTC 자외선 차단 의약품(2018년 5월))에 따라 시판되었음에 주목한다. CARES법은 승인된 신청 없이 제조된 자외선차단제가 이러한 요구사항이 개정될 때까지 따라야 하는 요구사항을 규정했기 때문에, FDA는 최종간주명령 게시와 함께 전술한 집행 정책 지침을 철회했다. 철회된 지침은 FDA 보관소(https://www.fda.gov/about-fda/about-website/fdagov-archive)에서 확인할 수 있다.</w:t>
      </w:r>
    </w:p>
  </w:footnote>
  <w:footnote w:id="6">
    <w:p w14:paraId="245147A2" w14:textId="26EBFF3F" w:rsidR="00547BAE" w:rsidRPr="00EF791F" w:rsidRDefault="00547BAE" w:rsidP="00EF791F">
      <w:pPr>
        <w:pStyle w:val="a9"/>
        <w:spacing w:line="264" w:lineRule="auto"/>
        <w:jc w:val="both"/>
        <w:rPr>
          <w:rFonts w:asciiTheme="minorEastAsia" w:eastAsiaTheme="minorEastAsia" w:hAnsiTheme="minorEastAsia"/>
          <w:sz w:val="16"/>
          <w:szCs w:val="16"/>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 xml:space="preserve">(1999년 최종 모노그래프) CARES법은 이러한 요구사항이 </w:t>
      </w:r>
      <w:r w:rsidRPr="00EF791F">
        <w:rPr>
          <w:rFonts w:asciiTheme="minorEastAsia" w:eastAsiaTheme="minorEastAsia" w:hAnsiTheme="minorEastAsia" w:hint="eastAsia"/>
          <w:i/>
          <w:iCs/>
          <w:sz w:val="16"/>
          <w:szCs w:val="16"/>
          <w:lang w:eastAsia="ko-KR"/>
        </w:rPr>
        <w:t>연방관보</w:t>
      </w:r>
      <w:r w:rsidRPr="00EF791F">
        <w:rPr>
          <w:rFonts w:asciiTheme="minorEastAsia" w:eastAsiaTheme="minorEastAsia" w:hAnsiTheme="minorEastAsia" w:hint="eastAsia"/>
          <w:sz w:val="16"/>
          <w:szCs w:val="16"/>
          <w:lang w:eastAsia="ko-KR"/>
        </w:rPr>
        <w:t xml:space="preserve"> 제64권 27687 페이지에서 시작한다고 명시하고 있다.</w:t>
      </w:r>
    </w:p>
  </w:footnote>
  <w:footnote w:id="7">
    <w:p w14:paraId="7E059B84" w14:textId="5F90544A" w:rsidR="00547BAE" w:rsidRPr="00EF791F" w:rsidRDefault="00547BAE" w:rsidP="00EF791F">
      <w:pPr>
        <w:pStyle w:val="a9"/>
        <w:spacing w:line="264" w:lineRule="auto"/>
        <w:jc w:val="both"/>
        <w:rPr>
          <w:rFonts w:asciiTheme="minorEastAsia" w:eastAsiaTheme="minorEastAsia" w:hAnsiTheme="minorEastAsia"/>
          <w:sz w:val="16"/>
          <w:szCs w:val="16"/>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FD&amp;C법 제505G(a)(2)조. 전술한 최종 모노그래프의 준수 요구사항을 보완하기 위해, 제505G조는 505G(a)((2)의 자외선차단제 관련 조항에 의해 설명된 의약품에 대한 특정 CARES법 이전 모노그래프 규칙제정 문서의 요구사항 및 "[제505G조]에 따라 시판된 특정 비처방 의약품에 대한 요구사항을 규정한 [제505G조] 제정일 전날에 시행된 규정을 제505G(b)조에 따른 최종 행정명령으로 간주했다(FD&amp;C법의 제505G(b)(8)조 및 제505G(k)(2)조 참조). 결과 문서(최종간주명령)는 OTC 모노그래프@FDA 포털 (</w:t>
      </w:r>
      <w:hyperlink r:id="rId3">
        <w:r w:rsidRPr="00EF791F">
          <w:rPr>
            <w:rFonts w:asciiTheme="minorEastAsia" w:eastAsiaTheme="minorEastAsia" w:hAnsiTheme="minorEastAsia" w:hint="eastAsia"/>
            <w:color w:val="0000FF"/>
            <w:sz w:val="16"/>
            <w:szCs w:val="16"/>
            <w:u w:val="single" w:color="0000FF"/>
            <w:lang w:eastAsia="ko-KR"/>
          </w:rPr>
          <w:t>https://www.accessdata.fda.gov/scripts/cder/omuf/index.cfm</w:t>
        </w:r>
      </w:hyperlink>
      <w:r w:rsidRPr="00EF791F">
        <w:rPr>
          <w:rFonts w:asciiTheme="minorEastAsia" w:eastAsiaTheme="minorEastAsia" w:hAnsiTheme="minorEastAsia" w:hint="eastAsia"/>
          <w:sz w:val="16"/>
          <w:szCs w:val="16"/>
          <w:lang w:eastAsia="ko-KR"/>
        </w:rPr>
        <w:t>)에서 확인할 수 있다.</w:t>
      </w:r>
    </w:p>
  </w:footnote>
  <w:footnote w:id="8">
    <w:p w14:paraId="59394812" w14:textId="03E53736" w:rsidR="00547BAE" w:rsidRPr="00EF791F" w:rsidRDefault="00547BAE" w:rsidP="00EF791F">
      <w:pPr>
        <w:pStyle w:val="a9"/>
        <w:spacing w:line="264" w:lineRule="auto"/>
        <w:jc w:val="both"/>
        <w:rPr>
          <w:rFonts w:eastAsiaTheme="minorEastAsia"/>
          <w:lang w:eastAsia="ko-KR"/>
        </w:rPr>
      </w:pPr>
      <w:r w:rsidRPr="00EF791F">
        <w:rPr>
          <w:rStyle w:val="a7"/>
          <w:rFonts w:asciiTheme="minorEastAsia" w:eastAsiaTheme="minorEastAsia" w:hAnsiTheme="minorEastAsia"/>
          <w:sz w:val="16"/>
          <w:szCs w:val="16"/>
        </w:rPr>
        <w:footnoteRef/>
      </w:r>
      <w:r w:rsidRPr="00EF791F">
        <w:rPr>
          <w:rFonts w:asciiTheme="minorEastAsia" w:eastAsiaTheme="minorEastAsia" w:hAnsiTheme="minorEastAsia"/>
          <w:sz w:val="16"/>
          <w:szCs w:val="16"/>
          <w:lang w:eastAsia="ko-KR"/>
        </w:rPr>
        <w:t xml:space="preserve"> </w:t>
      </w:r>
      <w:r w:rsidRPr="00EF791F">
        <w:rPr>
          <w:rFonts w:asciiTheme="minorEastAsia" w:eastAsiaTheme="minorEastAsia" w:hAnsiTheme="minorEastAsia" w:hint="eastAsia"/>
          <w:sz w:val="16"/>
          <w:szCs w:val="16"/>
          <w:lang w:eastAsia="ko-KR"/>
        </w:rPr>
        <w:t>CARES법 제3854(c)(1)(B)조 참조. 또한 FD&amp;C법의 제505G(b)(8)조(특히 제505G(a)(2)조에 따른 자외선차단제 사용 조건을 정한 모노그래프로 구성된 명령을 비롯한 최종 모노그래프 명령은 "[제505G(b)조]의 절차에 따라 개정, 철회 또는 기타 방식으로 변경될 수 있다"고 명시함)도 참조한다.</w:t>
      </w:r>
    </w:p>
  </w:footnote>
  <w:footnote w:id="9">
    <w:p w14:paraId="41647284" w14:textId="23A7FD63" w:rsidR="00547BAE" w:rsidRPr="003B279D" w:rsidRDefault="00547BAE" w:rsidP="003B279D">
      <w:pPr>
        <w:pStyle w:val="a9"/>
        <w:spacing w:line="264" w:lineRule="auto"/>
        <w:jc w:val="both"/>
        <w:rPr>
          <w:rFonts w:asciiTheme="minorEastAsia" w:eastAsiaTheme="minorEastAsia" w:hAnsiTheme="minorEastAsia"/>
          <w:sz w:val="16"/>
          <w:szCs w:val="16"/>
          <w:lang w:eastAsia="ko-KR"/>
        </w:rPr>
      </w:pPr>
      <w:r w:rsidRPr="003B279D">
        <w:rPr>
          <w:rStyle w:val="a7"/>
          <w:rFonts w:asciiTheme="minorEastAsia" w:eastAsiaTheme="minorEastAsia" w:hAnsiTheme="minorEastAsia"/>
          <w:sz w:val="16"/>
          <w:szCs w:val="16"/>
        </w:rPr>
        <w:footnoteRef/>
      </w:r>
      <w:r w:rsidRPr="003B279D">
        <w:rPr>
          <w:rFonts w:asciiTheme="minorEastAsia" w:eastAsiaTheme="minorEastAsia" w:hAnsiTheme="minorEastAsia"/>
          <w:sz w:val="16"/>
          <w:szCs w:val="16"/>
          <w:lang w:eastAsia="ko-KR"/>
        </w:rPr>
        <w:t xml:space="preserve"> </w:t>
      </w:r>
      <w:r w:rsidRPr="003B279D">
        <w:rPr>
          <w:rFonts w:asciiTheme="minorEastAsia" w:eastAsiaTheme="minorEastAsia" w:hAnsiTheme="minorEastAsia" w:hint="eastAsia"/>
          <w:sz w:val="16"/>
          <w:szCs w:val="16"/>
          <w:lang w:eastAsia="ko-KR"/>
        </w:rPr>
        <w:t>이러한 변경사항에는 CARES법(이 주제와 관련된 조항 포함)의 통과를 반영하기 위해 수정된 투여 형태의 적격성과 관련된 이전 논의가 포함된다. 자세한 내용은 섹션 VI.E.i.2를 참조한다. 또한 제505G조에 의해 발효된 명령으로의 전환을 반영하기 위해 이 명령안에서 자외선차단제(및 자외선차단제와 피부보호제를 조합한 제품)에 대한 GRASE 조건이 관련 모노그래프 § M020 및 § M016에 명시되어 있으며, 자외선차단제를 GRASE가 아닌 것으로 만드는 특성의 불완전 목록은 비모노그래프 조건 § NM020에 제시되어 있다. 제안된 § M020 및 § M016 조항은 2019년 규칙안이 연방규정 제21편 제352부와 제347부에 제시된 모노그래프 규정 및 연방규정 제21편 제201.327조 라벨링 규정(모노그래프에서 참조로 통합할 것을 제안한 요구사항)에서 성문화도록 제안한 요구사항과 실질적으로 동일하다. 국제표준화기구(ISO) 표준의 최신판을 참조로 통합하기 위해 § M020.80에서 SPF 시험 제안을 업데이트했지만, 이 표준은 2019년 규칙안에 포함된 연방규정 제21편 제201.327조(현재 최종간주명령의 일부)에 이전에 통합되었던 버전에서 실질적으로 변경되지 않았다. 제안된 § NM020 조항은 이전에 (2019년 규칙안에서) 연방규정 제21편 제310.549조에 성문화하도록 제안된 것과 실질적으로 동일하다.</w:t>
      </w:r>
    </w:p>
  </w:footnote>
  <w:footnote w:id="10">
    <w:p w14:paraId="57A69C6D" w14:textId="0A3ECC26" w:rsidR="00547BAE" w:rsidRPr="003B279D" w:rsidRDefault="00547BAE" w:rsidP="003B279D">
      <w:pPr>
        <w:pStyle w:val="a9"/>
        <w:spacing w:line="264" w:lineRule="auto"/>
        <w:jc w:val="both"/>
        <w:rPr>
          <w:rFonts w:asciiTheme="minorEastAsia" w:eastAsiaTheme="minorEastAsia" w:hAnsiTheme="minorEastAsia"/>
          <w:sz w:val="16"/>
          <w:szCs w:val="16"/>
          <w:lang w:eastAsia="ko-KR"/>
        </w:rPr>
      </w:pPr>
      <w:r w:rsidRPr="003B279D">
        <w:rPr>
          <w:rStyle w:val="a7"/>
          <w:rFonts w:asciiTheme="minorEastAsia" w:eastAsiaTheme="minorEastAsia" w:hAnsiTheme="minorEastAsia"/>
          <w:sz w:val="16"/>
          <w:szCs w:val="16"/>
        </w:rPr>
        <w:footnoteRef/>
      </w:r>
      <w:r w:rsidRPr="003B279D">
        <w:rPr>
          <w:rFonts w:asciiTheme="minorEastAsia" w:eastAsiaTheme="minorEastAsia" w:hAnsiTheme="minorEastAsia"/>
          <w:sz w:val="16"/>
          <w:szCs w:val="16"/>
          <w:lang w:eastAsia="ko-KR"/>
        </w:rPr>
        <w:t xml:space="preserve"> </w:t>
      </w:r>
      <w:r w:rsidRPr="003B279D">
        <w:rPr>
          <w:rFonts w:asciiTheme="minorEastAsia" w:eastAsiaTheme="minorEastAsia" w:hAnsiTheme="minorEastAsia" w:hint="eastAsia"/>
          <w:sz w:val="16"/>
          <w:szCs w:val="16"/>
          <w:lang w:eastAsia="ko-KR"/>
        </w:rPr>
        <w:t>무엇보다 명확성 및 내부 일관성을 위해 과학적 논의에 몇 가지 변경과 정정을 적용했다. 또한 2019년 규칙안에 명시된 바와 같이 FDA는 방충제 성분에 대한 EPA의 전문성 및 권한에 따르며 이러한 성분을 독립적으로 평가하지 않았다. 따라서 이 명령안은 특정 방충제 성분에 대한 배경 논의를 포함하지 않는다.</w:t>
      </w:r>
    </w:p>
  </w:footnote>
  <w:footnote w:id="11">
    <w:p w14:paraId="267F9ECC" w14:textId="0BBD9D25" w:rsidR="00547BAE" w:rsidRPr="003B279D" w:rsidRDefault="00547BAE" w:rsidP="003B279D">
      <w:pPr>
        <w:pStyle w:val="a9"/>
        <w:spacing w:line="264" w:lineRule="auto"/>
        <w:jc w:val="both"/>
        <w:rPr>
          <w:rFonts w:asciiTheme="minorEastAsia" w:eastAsiaTheme="minorEastAsia" w:hAnsiTheme="minorEastAsia"/>
          <w:sz w:val="16"/>
          <w:szCs w:val="16"/>
          <w:lang w:eastAsia="ko-KR"/>
        </w:rPr>
      </w:pPr>
      <w:r w:rsidRPr="003B279D">
        <w:rPr>
          <w:rStyle w:val="a7"/>
          <w:rFonts w:asciiTheme="minorEastAsia" w:eastAsiaTheme="minorEastAsia" w:hAnsiTheme="minorEastAsia"/>
          <w:sz w:val="16"/>
          <w:szCs w:val="16"/>
        </w:rPr>
        <w:footnoteRef/>
      </w:r>
      <w:r w:rsidRPr="003B279D">
        <w:rPr>
          <w:rFonts w:asciiTheme="minorEastAsia" w:eastAsiaTheme="minorEastAsia" w:hAnsiTheme="minorEastAsia"/>
          <w:sz w:val="16"/>
          <w:szCs w:val="16"/>
          <w:lang w:eastAsia="ko-KR"/>
        </w:rPr>
        <w:t xml:space="preserve"> </w:t>
      </w:r>
      <w:r w:rsidRPr="003B279D">
        <w:rPr>
          <w:rFonts w:asciiTheme="minorEastAsia" w:eastAsiaTheme="minorEastAsia" w:hAnsiTheme="minorEastAsia" w:hint="eastAsia"/>
          <w:sz w:val="16"/>
          <w:szCs w:val="16"/>
          <w:lang w:eastAsia="ko-KR"/>
        </w:rPr>
        <w:t>FD&amp;C법 제505G(k)(1)조 및 연방규정 제21편 제330.10(a)(4)조 참조.</w:t>
      </w:r>
    </w:p>
  </w:footnote>
  <w:footnote w:id="12">
    <w:p w14:paraId="548529D2" w14:textId="4043726D" w:rsidR="00547BAE" w:rsidRPr="003B279D" w:rsidRDefault="00547BAE" w:rsidP="003B279D">
      <w:pPr>
        <w:pStyle w:val="a9"/>
        <w:spacing w:line="264" w:lineRule="auto"/>
        <w:jc w:val="both"/>
        <w:rPr>
          <w:rFonts w:asciiTheme="minorEastAsia" w:eastAsiaTheme="minorEastAsia" w:hAnsiTheme="minorEastAsia"/>
          <w:sz w:val="16"/>
          <w:szCs w:val="16"/>
          <w:lang w:eastAsia="ko-KR"/>
        </w:rPr>
      </w:pPr>
      <w:r w:rsidRPr="003B279D">
        <w:rPr>
          <w:rStyle w:val="a7"/>
          <w:rFonts w:asciiTheme="minorEastAsia" w:eastAsiaTheme="minorEastAsia" w:hAnsiTheme="minorEastAsia"/>
          <w:sz w:val="16"/>
          <w:szCs w:val="16"/>
        </w:rPr>
        <w:footnoteRef/>
      </w:r>
      <w:r w:rsidRPr="003B279D">
        <w:rPr>
          <w:rFonts w:asciiTheme="minorEastAsia" w:eastAsiaTheme="minorEastAsia" w:hAnsiTheme="minorEastAsia"/>
          <w:sz w:val="16"/>
          <w:szCs w:val="16"/>
          <w:lang w:eastAsia="ko-KR"/>
        </w:rPr>
        <w:t xml:space="preserve"> </w:t>
      </w:r>
      <w:r w:rsidRPr="003B279D">
        <w:rPr>
          <w:rFonts w:asciiTheme="minorEastAsia" w:eastAsiaTheme="minorEastAsia" w:hAnsiTheme="minorEastAsia" w:hint="eastAsia"/>
          <w:sz w:val="16"/>
          <w:szCs w:val="16"/>
          <w:lang w:eastAsia="ko-KR"/>
        </w:rPr>
        <w:t xml:space="preserve">Matta외 공저(2020년) 연구 및 이전 파일럿 연구(Matta외 공저, 2019년)에 대해 설명한 “FDA 간략 발표: FDA, 두 번째 자외선차단제 흡수 연구 결과 발표”, 다음 웹사이트에서 확인할 수 있음. </w:t>
      </w:r>
      <w:hyperlink r:id="rId4">
        <w:r w:rsidRPr="003B279D">
          <w:rPr>
            <w:rFonts w:asciiTheme="minorEastAsia" w:eastAsiaTheme="minorEastAsia" w:hAnsiTheme="minorEastAsia" w:hint="eastAsia"/>
            <w:color w:val="0000FF"/>
            <w:sz w:val="16"/>
            <w:szCs w:val="16"/>
            <w:u w:val="single" w:color="0000FF"/>
            <w:lang w:eastAsia="ko-KR"/>
          </w:rPr>
          <w:t>https://www.fda.gov/news-events/fda-brief/fda-brief-fda-announces-results-second-sunscreen-absorption-study</w:t>
        </w:r>
      </w:hyperlink>
    </w:p>
  </w:footnote>
  <w:footnote w:id="13">
    <w:p w14:paraId="3FE4C284" w14:textId="32CEE3E6" w:rsidR="00547BAE" w:rsidRPr="003B279D" w:rsidRDefault="00547BAE" w:rsidP="003B279D">
      <w:pPr>
        <w:pStyle w:val="a9"/>
        <w:spacing w:line="264" w:lineRule="auto"/>
        <w:jc w:val="both"/>
        <w:rPr>
          <w:rFonts w:eastAsiaTheme="minorEastAsia"/>
          <w:lang w:eastAsia="ko-KR"/>
        </w:rPr>
      </w:pPr>
      <w:r w:rsidRPr="003B279D">
        <w:rPr>
          <w:rStyle w:val="a7"/>
          <w:rFonts w:asciiTheme="minorEastAsia" w:eastAsiaTheme="minorEastAsia" w:hAnsiTheme="minorEastAsia"/>
          <w:sz w:val="16"/>
          <w:szCs w:val="16"/>
        </w:rPr>
        <w:footnoteRef/>
      </w:r>
      <w:r w:rsidRPr="003B279D">
        <w:rPr>
          <w:rFonts w:asciiTheme="minorEastAsia" w:eastAsiaTheme="minorEastAsia" w:hAnsiTheme="minorEastAsia"/>
          <w:sz w:val="16"/>
          <w:szCs w:val="16"/>
          <w:lang w:eastAsia="ko-KR"/>
        </w:rPr>
        <w:t xml:space="preserve"> </w:t>
      </w:r>
      <w:r w:rsidRPr="003B279D">
        <w:rPr>
          <w:rFonts w:asciiTheme="minorEastAsia" w:eastAsiaTheme="minorEastAsia" w:hAnsiTheme="minorEastAsia" w:hint="eastAsia"/>
          <w:sz w:val="16"/>
          <w:szCs w:val="16"/>
          <w:lang w:eastAsia="ko-KR"/>
        </w:rPr>
        <w:t>여기에는 2019년 규칙안에서 부족한 것으로 처음 확인된 데이터를 생성하기 위한 연구를 수행하기 위해 적시에 연기 요청이 제기된 8가지 자외선차단제 활성성분(각주 4 참조)에 대해 공개된 정보를 포함한다. 이러한 성분을 함유한 자외선차단제의 GRASE 지위에 대한 불확실성을 해결하기 위해 언제든 사용 가능한 증거가 충분해지면, FDA는 이러한 성분의 지위에 대한 본 기관의 결론을 반영하는 개정된 최종 규칙을 진행할 계획이다. 그러나 이 명령안에 대한 의견수렴기간이 종료될 때 사용 가능한 데이터가 이러한 각 성분에 대한 미해결 문제를 해결하지 못하지만, 특정 성분에 대해 필요한 연구가 적시에 성실하게 진행되고 있다는 만족스러운 지표가 있는 경우, FDA는 이러한 특정 활성성분을 함유한 자외선차단제의 GRASE 지위에 대한 개정된 최종 명령의 발행을 처음으로 연기할 준비가 되어 있다. 이러한 연기는 최대 1년 동안이며, 만족스러운 연구 진행 상황에 따라 추가로 연장될 가능성이 있다. 그러나 FDA의 판단에 따라 특정 활성성분에 대한 연구가 적시에 진행되지 않거나 생산적이지 않은 것으로 보이는 경우, FDA는 전술한 최초 연기 후 해당 성분이 함유된 자외선차단제에 대한 개정된 최종 명령이 진행될 것으로 예상한다.</w:t>
      </w:r>
    </w:p>
  </w:footnote>
  <w:footnote w:id="14">
    <w:p w14:paraId="354BC43C" w14:textId="2F491544" w:rsidR="00547BAE" w:rsidRPr="00350E00" w:rsidRDefault="00547BAE" w:rsidP="00350E00">
      <w:pPr>
        <w:pStyle w:val="a9"/>
        <w:spacing w:line="264" w:lineRule="auto"/>
        <w:jc w:val="both"/>
        <w:rPr>
          <w:rFonts w:eastAsiaTheme="minorEastAsia"/>
          <w:lang w:eastAsia="ko-KR"/>
        </w:rPr>
      </w:pPr>
      <w:r w:rsidRPr="00350E00">
        <w:rPr>
          <w:rFonts w:asciiTheme="minorEastAsia" w:eastAsiaTheme="minorEastAsia" w:hAnsiTheme="minorEastAsia"/>
          <w:sz w:val="16"/>
          <w:szCs w:val="16"/>
          <w:vertAlign w:val="superscript"/>
          <w:lang w:eastAsia="ko-KR"/>
        </w:rPr>
        <w:footnoteRef/>
      </w:r>
      <w:r w:rsidRPr="00350E00">
        <w:rPr>
          <w:rFonts w:asciiTheme="minorEastAsia" w:eastAsiaTheme="minorEastAsia" w:hAnsiTheme="minorEastAsia"/>
          <w:sz w:val="16"/>
          <w:szCs w:val="16"/>
          <w:lang w:eastAsia="ko-KR"/>
        </w:rPr>
        <w:t xml:space="preserve"> </w:t>
      </w:r>
      <w:r w:rsidRPr="00350E00">
        <w:rPr>
          <w:rFonts w:asciiTheme="minorEastAsia" w:eastAsiaTheme="minorEastAsia" w:hAnsiTheme="minorEastAsia" w:hint="eastAsia"/>
          <w:sz w:val="16"/>
          <w:szCs w:val="16"/>
          <w:lang w:eastAsia="ko-KR"/>
        </w:rPr>
        <w:t>OTC 의약품 검토를 규제하는 절차를 규정한 연방규정 제21편 제330.10조의 특정 부분은 FD&amp;C법 제505G조의 제정으로 영향을 받았으며, (규정의 특정 부분을 철회하고 이에 상응하는 기술적 변경을 하기 위한) 적절한 규제 변경이 예정되어 있다(FD&amp;C법 제505G(k)(3)조 참조). 그러나 연방규정 제21편 제330.10조에 명시된 안전성 및 효과 기준은 변경되지 않았다.</w:t>
      </w:r>
    </w:p>
  </w:footnote>
  <w:footnote w:id="15">
    <w:p w14:paraId="7A042D1F" w14:textId="47BCDD6A" w:rsidR="00547BAE" w:rsidRPr="00151D49" w:rsidRDefault="00547BAE" w:rsidP="00151D49">
      <w:pPr>
        <w:pStyle w:val="a9"/>
        <w:spacing w:line="264" w:lineRule="auto"/>
        <w:jc w:val="both"/>
        <w:rPr>
          <w:rFonts w:asciiTheme="minorEastAsia" w:eastAsiaTheme="minorEastAsia" w:hAnsiTheme="minorEastAsia"/>
          <w:sz w:val="16"/>
          <w:szCs w:val="16"/>
          <w:lang w:eastAsia="ko-KR"/>
        </w:rPr>
      </w:pPr>
      <w:r w:rsidRPr="00151D49">
        <w:rPr>
          <w:rFonts w:asciiTheme="minorEastAsia" w:eastAsiaTheme="minorEastAsia" w:hAnsiTheme="minorEastAsia"/>
          <w:sz w:val="16"/>
          <w:szCs w:val="16"/>
          <w:vertAlign w:val="superscript"/>
          <w:lang w:eastAsia="ko-KR"/>
        </w:rPr>
        <w:footnoteRef/>
      </w:r>
      <w:r w:rsidRPr="00151D49">
        <w:rPr>
          <w:rFonts w:asciiTheme="minorEastAsia" w:eastAsiaTheme="minorEastAsia" w:hAnsiTheme="minorEastAsia"/>
          <w:sz w:val="16"/>
          <w:szCs w:val="16"/>
          <w:lang w:eastAsia="ko-KR"/>
        </w:rPr>
        <w:t xml:space="preserve"> </w:t>
      </w:r>
      <w:r w:rsidRPr="00151D49">
        <w:rPr>
          <w:rFonts w:asciiTheme="minorEastAsia" w:eastAsiaTheme="minorEastAsia" w:hAnsiTheme="minorEastAsia" w:hint="eastAsia"/>
          <w:sz w:val="16"/>
          <w:szCs w:val="16"/>
          <w:lang w:eastAsia="ko-KR"/>
        </w:rPr>
        <w:t>이 지정은 일반적으로 2019년 규칙안의 범주 III 지정과 일치한다.</w:t>
      </w:r>
    </w:p>
  </w:footnote>
  <w:footnote w:id="16">
    <w:p w14:paraId="075EDB3B" w14:textId="2ECF85ED" w:rsidR="00547BAE" w:rsidRPr="00603BCD" w:rsidRDefault="00547BAE" w:rsidP="003F14F5">
      <w:pPr>
        <w:pStyle w:val="a9"/>
        <w:spacing w:line="264" w:lineRule="auto"/>
        <w:jc w:val="both"/>
        <w:rPr>
          <w:rFonts w:eastAsiaTheme="minorEastAsia"/>
          <w:lang w:eastAsia="ko-KR"/>
        </w:rPr>
      </w:pPr>
      <w:r w:rsidRPr="003F14F5">
        <w:rPr>
          <w:rFonts w:asciiTheme="minorEastAsia" w:eastAsiaTheme="minorEastAsia" w:hAnsiTheme="minorEastAsia"/>
          <w:sz w:val="16"/>
          <w:szCs w:val="16"/>
          <w:vertAlign w:val="superscript"/>
          <w:lang w:eastAsia="ko-KR"/>
        </w:rPr>
        <w:footnoteRef/>
      </w:r>
      <w:r w:rsidRPr="003F14F5">
        <w:rPr>
          <w:rFonts w:asciiTheme="minorEastAsia" w:eastAsiaTheme="minorEastAsia" w:hAnsiTheme="minorEastAsia"/>
          <w:sz w:val="16"/>
          <w:szCs w:val="16"/>
          <w:lang w:eastAsia="ko-KR"/>
        </w:rPr>
        <w:t xml:space="preserve"> </w:t>
      </w:r>
      <w:r w:rsidRPr="003F14F5">
        <w:rPr>
          <w:rFonts w:asciiTheme="minorEastAsia" w:eastAsiaTheme="minorEastAsia" w:hAnsiTheme="minorEastAsia" w:hint="eastAsia"/>
          <w:sz w:val="16"/>
          <w:szCs w:val="16"/>
          <w:lang w:eastAsia="ko-KR"/>
        </w:rPr>
        <w:t>라벨링된 최대 SPF 값을 60+로 올리자는 제안은 모두 광범위 스펙트럼 자외선차단제를 사용한 연구에 기초하기 때문에 SPF 값이 50을 초과하는 자외선차단제에서 인정할 것을 제안하고 있는 추가적인 임상적 이점은 이러한 제품이 제공하는 광범위 스펙트럼 차단과 분리할 수 없다. 따라서 라벨링된 최대 SPF 값을 SPF 60+로 올리자는 제안은 SPF 값이 15 이상인 모든 자외선차단제 모노그래프 제품이 광범위 스펙트럼 요구사항을 충족하도록 요구하는 제안에 부합하며 이 제안에 의존한다.</w:t>
      </w:r>
    </w:p>
  </w:footnote>
  <w:footnote w:id="17">
    <w:p w14:paraId="18C9DBEE" w14:textId="08C11A0A" w:rsidR="00547BAE" w:rsidRPr="003F14F5" w:rsidRDefault="00547BAE" w:rsidP="003F14F5">
      <w:pPr>
        <w:pStyle w:val="a9"/>
        <w:spacing w:line="264" w:lineRule="auto"/>
        <w:jc w:val="both"/>
        <w:rPr>
          <w:rFonts w:asciiTheme="minorEastAsia" w:eastAsiaTheme="minorEastAsia" w:hAnsiTheme="minorEastAsia"/>
          <w:sz w:val="16"/>
          <w:szCs w:val="16"/>
          <w:lang w:eastAsia="ko-KR"/>
        </w:rPr>
      </w:pPr>
      <w:r w:rsidRPr="003F14F5">
        <w:rPr>
          <w:rStyle w:val="a7"/>
          <w:rFonts w:asciiTheme="minorEastAsia" w:eastAsiaTheme="minorEastAsia" w:hAnsiTheme="minorEastAsia"/>
          <w:sz w:val="16"/>
          <w:szCs w:val="16"/>
        </w:rPr>
        <w:footnoteRef/>
      </w:r>
      <w:r w:rsidRPr="003F14F5">
        <w:rPr>
          <w:rFonts w:asciiTheme="minorEastAsia" w:eastAsiaTheme="minorEastAsia" w:hAnsiTheme="minorEastAsia"/>
          <w:sz w:val="16"/>
          <w:szCs w:val="16"/>
          <w:lang w:eastAsia="ko-KR"/>
        </w:rPr>
        <w:t xml:space="preserve"> </w:t>
      </w:r>
      <w:r w:rsidRPr="003F14F5">
        <w:rPr>
          <w:rFonts w:asciiTheme="minorEastAsia" w:eastAsiaTheme="minorEastAsia" w:hAnsiTheme="minorEastAsia" w:hint="eastAsia"/>
          <w:sz w:val="16"/>
          <w:szCs w:val="16"/>
          <w:lang w:eastAsia="ko-KR"/>
        </w:rPr>
        <w:t>이 문서에서 "조합 제품"이라는 설명어를 사용한다고 해서 하나 이상의 방충제와 함께 하나 이상의 자외선차단제 활성성분을 함유한 제품이 연방규정 제21편 제3.2(e)조에 정의된 용어인 "조합 제품"임을 전달하려는 것은 아니다.</w:t>
      </w:r>
    </w:p>
  </w:footnote>
  <w:footnote w:id="18">
    <w:p w14:paraId="58182963" w14:textId="511C6A63" w:rsidR="00547BAE" w:rsidRPr="003F14F5" w:rsidRDefault="00547BAE" w:rsidP="003F14F5">
      <w:pPr>
        <w:pStyle w:val="a9"/>
        <w:spacing w:line="264" w:lineRule="auto"/>
        <w:jc w:val="both"/>
        <w:rPr>
          <w:rFonts w:asciiTheme="minorEastAsia" w:eastAsiaTheme="minorEastAsia" w:hAnsiTheme="minorEastAsia"/>
          <w:sz w:val="16"/>
          <w:szCs w:val="16"/>
          <w:lang w:eastAsia="ko-KR"/>
        </w:rPr>
      </w:pPr>
      <w:r w:rsidRPr="003F14F5">
        <w:rPr>
          <w:rStyle w:val="a7"/>
          <w:rFonts w:asciiTheme="minorEastAsia" w:eastAsiaTheme="minorEastAsia" w:hAnsiTheme="minorEastAsia"/>
          <w:sz w:val="16"/>
          <w:szCs w:val="16"/>
        </w:rPr>
        <w:footnoteRef/>
      </w:r>
      <w:r w:rsidRPr="003F14F5">
        <w:rPr>
          <w:rFonts w:asciiTheme="minorEastAsia" w:eastAsiaTheme="minorEastAsia" w:hAnsiTheme="minorEastAsia"/>
          <w:sz w:val="16"/>
          <w:szCs w:val="16"/>
          <w:lang w:eastAsia="ko-KR"/>
        </w:rPr>
        <w:t xml:space="preserve"> </w:t>
      </w:r>
      <w:r w:rsidRPr="003F14F5">
        <w:rPr>
          <w:rFonts w:asciiTheme="minorEastAsia" w:eastAsiaTheme="minorEastAsia" w:hAnsiTheme="minorEastAsia" w:hint="eastAsia"/>
          <w:sz w:val="16"/>
          <w:szCs w:val="16"/>
          <w:lang w:eastAsia="ko-KR"/>
        </w:rPr>
        <w:t>Ross외 공저 2004년; Gu외 공저 2005년; Wang 및 Gu 2007년; Kasichayanula외 공저 2005년; Kasichyanula외 공저 2007년; Yiin외 공저 2015년 참조.</w:t>
      </w:r>
    </w:p>
  </w:footnote>
  <w:footnote w:id="19">
    <w:p w14:paraId="6774DCB9" w14:textId="0E3D092E" w:rsidR="00547BAE" w:rsidRPr="003F14F5" w:rsidRDefault="00547BAE" w:rsidP="003F14F5">
      <w:pPr>
        <w:pStyle w:val="a9"/>
        <w:spacing w:line="264" w:lineRule="auto"/>
        <w:jc w:val="both"/>
        <w:rPr>
          <w:rFonts w:eastAsiaTheme="minorEastAsia"/>
          <w:lang w:eastAsia="ko-KR"/>
        </w:rPr>
      </w:pPr>
      <w:r w:rsidRPr="003F14F5">
        <w:rPr>
          <w:rStyle w:val="a7"/>
          <w:rFonts w:asciiTheme="minorEastAsia" w:eastAsiaTheme="minorEastAsia" w:hAnsiTheme="minorEastAsia"/>
          <w:sz w:val="16"/>
          <w:szCs w:val="16"/>
        </w:rPr>
        <w:footnoteRef/>
      </w:r>
      <w:r w:rsidRPr="003F14F5">
        <w:rPr>
          <w:rFonts w:asciiTheme="minorEastAsia" w:eastAsiaTheme="minorEastAsia" w:hAnsiTheme="minorEastAsia"/>
          <w:sz w:val="16"/>
          <w:szCs w:val="16"/>
          <w:lang w:eastAsia="ko-KR"/>
        </w:rPr>
        <w:t xml:space="preserve"> </w:t>
      </w:r>
      <w:r w:rsidRPr="003F14F5">
        <w:rPr>
          <w:rFonts w:asciiTheme="minorEastAsia" w:eastAsiaTheme="minorEastAsia" w:hAnsiTheme="minorEastAsia" w:hint="eastAsia"/>
          <w:sz w:val="16"/>
          <w:szCs w:val="16"/>
          <w:lang w:eastAsia="ko-KR"/>
        </w:rPr>
        <w:t xml:space="preserve">일반의약품 M016: 인체용 일반의약품 피부 보호 의약품은 FD&amp;C법 제505G(b)(8)조에 의해 간주된 바와 같이 2020년 3월 27일 연방규정 제21편 제347부로 성문화된 연방규정 제21편 제330부에 따라 발행된 OTC 피부 보호 의약품에 대한 최종 모노그래프와 1990년 1월 31일자 연방관보(55 FR 3362) 및 1990년 6월 20일자 </w:t>
      </w:r>
      <w:r w:rsidRPr="003F14F5">
        <w:rPr>
          <w:rFonts w:asciiTheme="minorEastAsia" w:eastAsiaTheme="minorEastAsia" w:hAnsiTheme="minorEastAsia" w:hint="eastAsia"/>
          <w:i/>
          <w:sz w:val="16"/>
          <w:szCs w:val="16"/>
          <w:lang w:eastAsia="ko-KR"/>
        </w:rPr>
        <w:t>연방관보</w:t>
      </w:r>
      <w:r w:rsidRPr="003F14F5">
        <w:rPr>
          <w:rFonts w:asciiTheme="minorEastAsia" w:eastAsiaTheme="minorEastAsia" w:hAnsiTheme="minorEastAsia" w:hint="eastAsia"/>
          <w:sz w:val="16"/>
          <w:szCs w:val="16"/>
          <w:lang w:eastAsia="ko-KR"/>
        </w:rPr>
        <w:t xml:space="preserve"> (55 FR 25204)에 발행된 규칙안의 요구사항을 기술적 개정사항과 함께 통합한 최종 행정명령이다. 이 명령은 OTC 모노그래프@FDA 포털 (</w:t>
      </w:r>
      <w:hyperlink r:id="rId5">
        <w:r w:rsidRPr="003F14F5">
          <w:rPr>
            <w:rFonts w:asciiTheme="minorEastAsia" w:eastAsiaTheme="minorEastAsia" w:hAnsiTheme="minorEastAsia" w:hint="eastAsia"/>
            <w:color w:val="0000FF"/>
            <w:sz w:val="16"/>
            <w:szCs w:val="16"/>
            <w:u w:val="single" w:color="0000FF"/>
            <w:lang w:eastAsia="ko-KR"/>
          </w:rPr>
          <w:t>https://www.accessdata.fda.gov/scripts/cder/omuf/index.cfm</w:t>
        </w:r>
      </w:hyperlink>
      <w:r w:rsidRPr="003F14F5">
        <w:rPr>
          <w:rFonts w:asciiTheme="minorEastAsia" w:eastAsiaTheme="minorEastAsia" w:hAnsiTheme="minorEastAsia" w:hint="eastAsia"/>
          <w:sz w:val="16"/>
          <w:szCs w:val="16"/>
          <w:lang w:eastAsia="ko-KR"/>
        </w:rPr>
        <w:t>)에서 확인할 수 있다.</w:t>
      </w:r>
    </w:p>
  </w:footnote>
  <w:footnote w:id="20">
    <w:p w14:paraId="375DA789" w14:textId="15D2D9EF" w:rsidR="00547BAE" w:rsidRPr="003F14F5" w:rsidRDefault="00547BAE" w:rsidP="003F14F5">
      <w:pPr>
        <w:pStyle w:val="a9"/>
        <w:spacing w:line="264" w:lineRule="auto"/>
        <w:jc w:val="both"/>
        <w:rPr>
          <w:rFonts w:asciiTheme="minorEastAsia" w:eastAsiaTheme="minorEastAsia" w:hAnsiTheme="minorEastAsia"/>
          <w:sz w:val="16"/>
          <w:szCs w:val="16"/>
          <w:lang w:eastAsia="ko-KR"/>
        </w:rPr>
      </w:pPr>
      <w:r w:rsidRPr="003F14F5">
        <w:rPr>
          <w:rStyle w:val="a7"/>
          <w:rFonts w:asciiTheme="minorEastAsia" w:eastAsiaTheme="minorEastAsia" w:hAnsiTheme="minorEastAsia"/>
          <w:sz w:val="16"/>
          <w:szCs w:val="16"/>
        </w:rPr>
        <w:footnoteRef/>
      </w:r>
      <w:r w:rsidRPr="003F14F5">
        <w:rPr>
          <w:rFonts w:asciiTheme="minorEastAsia" w:eastAsiaTheme="minorEastAsia" w:hAnsiTheme="minorEastAsia"/>
          <w:sz w:val="16"/>
          <w:szCs w:val="16"/>
          <w:lang w:eastAsia="ko-KR"/>
        </w:rPr>
        <w:t xml:space="preserve"> </w:t>
      </w:r>
      <w:r w:rsidRPr="003F14F5">
        <w:rPr>
          <w:rFonts w:asciiTheme="minorEastAsia" w:eastAsiaTheme="minorEastAsia" w:hAnsiTheme="minorEastAsia" w:hint="eastAsia"/>
          <w:sz w:val="16"/>
          <w:szCs w:val="16"/>
          <w:lang w:eastAsia="ko-KR"/>
        </w:rPr>
        <w:t>비모노그래프 조건 NM900: 특정 용도를 위해 일반의약품으로 판매되는 특정 활성분을 함유한 의약품. 2020년 3월 26일 발효된 연방규정 제21편 제310.545조를 포괄하며, 제정 시 FD&amp;C법 제505G(k)(2)(A)조에 의해 최종 행정명령으로 간주되었다. 이 조건은 OTC 모노그래프@FDA 포털 (</w:t>
      </w:r>
      <w:hyperlink r:id="rId6">
        <w:r w:rsidRPr="003F14F5">
          <w:rPr>
            <w:rFonts w:asciiTheme="minorEastAsia" w:eastAsiaTheme="minorEastAsia" w:hAnsiTheme="minorEastAsia" w:hint="eastAsia"/>
            <w:color w:val="0000FF"/>
            <w:sz w:val="16"/>
            <w:szCs w:val="16"/>
            <w:u w:val="single" w:color="0000FF"/>
            <w:lang w:eastAsia="ko-KR"/>
          </w:rPr>
          <w:t>https://www.accessdata.fda.gov/scripts/cder/omuf/index.cfm</w:t>
        </w:r>
      </w:hyperlink>
      <w:r w:rsidRPr="003F14F5">
        <w:rPr>
          <w:rFonts w:asciiTheme="minorEastAsia" w:eastAsiaTheme="minorEastAsia" w:hAnsiTheme="minorEastAsia" w:hint="eastAsia"/>
          <w:sz w:val="16"/>
          <w:szCs w:val="16"/>
          <w:lang w:eastAsia="ko-KR"/>
        </w:rPr>
        <w:t>)에서 확인할 수 있다.</w:t>
      </w:r>
    </w:p>
  </w:footnote>
  <w:footnote w:id="21">
    <w:p w14:paraId="3848E2F0" w14:textId="3BC0B4D1" w:rsidR="00547BAE" w:rsidRPr="00CB660F" w:rsidRDefault="00547BAE" w:rsidP="00CB660F">
      <w:pPr>
        <w:pStyle w:val="a9"/>
        <w:spacing w:line="264" w:lineRule="auto"/>
        <w:jc w:val="both"/>
        <w:rPr>
          <w:rFonts w:asciiTheme="minorEastAsia" w:eastAsiaTheme="minorEastAsia" w:hAnsiTheme="minorEastAsia"/>
          <w:sz w:val="16"/>
          <w:szCs w:val="16"/>
          <w:lang w:eastAsia="ko-KR"/>
        </w:rPr>
      </w:pPr>
      <w:r w:rsidRPr="00CB660F">
        <w:rPr>
          <w:rStyle w:val="a7"/>
          <w:rFonts w:asciiTheme="minorEastAsia" w:eastAsiaTheme="minorEastAsia" w:hAnsiTheme="minorEastAsia"/>
          <w:sz w:val="16"/>
          <w:szCs w:val="16"/>
        </w:rPr>
        <w:footnoteRef/>
      </w:r>
      <w:r w:rsidRPr="00CB660F">
        <w:rPr>
          <w:rFonts w:asciiTheme="minorEastAsia" w:eastAsiaTheme="minorEastAsia" w:hAnsiTheme="minorEastAsia"/>
          <w:sz w:val="16"/>
          <w:szCs w:val="16"/>
          <w:lang w:eastAsia="ko-KR"/>
        </w:rPr>
        <w:t xml:space="preserve"> </w:t>
      </w:r>
      <w:r w:rsidRPr="00CB660F">
        <w:rPr>
          <w:rFonts w:asciiTheme="minorEastAsia" w:eastAsiaTheme="minorEastAsia" w:hAnsiTheme="minorEastAsia" w:hint="eastAsia"/>
          <w:sz w:val="16"/>
          <w:szCs w:val="16"/>
          <w:lang w:eastAsia="ko-KR"/>
        </w:rPr>
        <w:t>연방관보 43권 38206 페이지(1978년 8월 25일).</w:t>
      </w:r>
    </w:p>
  </w:footnote>
  <w:footnote w:id="22">
    <w:p w14:paraId="770B8458" w14:textId="1C638DCC" w:rsidR="00547BAE" w:rsidRPr="00CB660F" w:rsidRDefault="00547BAE" w:rsidP="00CB660F">
      <w:pPr>
        <w:pStyle w:val="a9"/>
        <w:spacing w:line="264" w:lineRule="auto"/>
        <w:jc w:val="both"/>
        <w:rPr>
          <w:rFonts w:asciiTheme="minorEastAsia" w:eastAsiaTheme="minorEastAsia" w:hAnsiTheme="minorEastAsia"/>
          <w:sz w:val="16"/>
          <w:szCs w:val="16"/>
          <w:lang w:eastAsia="ko-KR"/>
        </w:rPr>
      </w:pPr>
      <w:r w:rsidRPr="00CB660F">
        <w:rPr>
          <w:rStyle w:val="a7"/>
          <w:rFonts w:asciiTheme="minorEastAsia" w:eastAsiaTheme="minorEastAsia" w:hAnsiTheme="minorEastAsia"/>
          <w:sz w:val="16"/>
          <w:szCs w:val="16"/>
        </w:rPr>
        <w:footnoteRef/>
      </w:r>
      <w:r w:rsidRPr="00CB660F">
        <w:rPr>
          <w:rFonts w:asciiTheme="minorEastAsia" w:eastAsiaTheme="minorEastAsia" w:hAnsiTheme="minorEastAsia"/>
          <w:sz w:val="16"/>
          <w:szCs w:val="16"/>
          <w:lang w:eastAsia="ko-KR"/>
        </w:rPr>
        <w:t xml:space="preserve"> </w:t>
      </w:r>
      <w:r w:rsidRPr="00CB660F">
        <w:rPr>
          <w:rFonts w:asciiTheme="minorEastAsia" w:eastAsiaTheme="minorEastAsia" w:hAnsiTheme="minorEastAsia" w:hint="eastAsia"/>
          <w:sz w:val="16"/>
          <w:szCs w:val="16"/>
          <w:lang w:eastAsia="ko-KR"/>
        </w:rPr>
        <w:t>SIA에 따라 평가된 OTC 자외선차단제 활성성분(또는 성분 조합)이 지정된 조건에서 사용될 때 GRASE인지 여부를 판단하는 데 필요한 안전성 및 효과 데이터와 관련된 FDA의 권고사항은 일반적으로 최종 지침에서 변경되지 않았다.</w:t>
      </w:r>
    </w:p>
  </w:footnote>
  <w:footnote w:id="23">
    <w:p w14:paraId="000E63A8" w14:textId="6DBDF6D4" w:rsidR="00547BAE" w:rsidRPr="0073673C" w:rsidRDefault="00547BAE" w:rsidP="0073673C">
      <w:pPr>
        <w:pStyle w:val="a9"/>
        <w:spacing w:line="264" w:lineRule="auto"/>
        <w:jc w:val="both"/>
        <w:rPr>
          <w:rFonts w:eastAsiaTheme="minorEastAsia"/>
          <w:lang w:eastAsia="ko-KR"/>
        </w:rPr>
      </w:pPr>
      <w:r w:rsidRPr="0073673C">
        <w:rPr>
          <w:rFonts w:asciiTheme="minorEastAsia" w:eastAsiaTheme="minorEastAsia" w:hAnsiTheme="minorEastAsia"/>
          <w:sz w:val="16"/>
          <w:szCs w:val="16"/>
          <w:vertAlign w:val="superscript"/>
          <w:lang w:eastAsia="ko-KR"/>
        </w:rPr>
        <w:footnoteRef/>
      </w:r>
      <w:r w:rsidRPr="0073673C">
        <w:rPr>
          <w:rFonts w:asciiTheme="minorEastAsia" w:eastAsiaTheme="minorEastAsia" w:hAnsiTheme="minorEastAsia"/>
          <w:sz w:val="16"/>
          <w:szCs w:val="16"/>
          <w:lang w:eastAsia="ko-KR"/>
        </w:rPr>
        <w:t xml:space="preserve"> </w:t>
      </w:r>
      <w:r w:rsidRPr="0073673C">
        <w:rPr>
          <w:rFonts w:asciiTheme="minorEastAsia" w:eastAsiaTheme="minorEastAsia" w:hAnsiTheme="minorEastAsia" w:hint="eastAsia"/>
          <w:sz w:val="16"/>
          <w:szCs w:val="16"/>
          <w:lang w:eastAsia="ko-KR"/>
        </w:rPr>
        <w:t>연방규정 제21편 제330.14조는 FD&amp;C법 제505G조 제정으로 인해 영향을 받았으며, 적절한 규제 변경이 예정되어 있다. FD&amp;C법 제505G(k)(3)조 참조.</w:t>
      </w:r>
    </w:p>
  </w:footnote>
  <w:footnote w:id="24">
    <w:p w14:paraId="7596016F" w14:textId="631478DE" w:rsidR="00547BAE" w:rsidRPr="00BE5540" w:rsidRDefault="00547BAE" w:rsidP="00BE5540">
      <w:pPr>
        <w:pStyle w:val="a9"/>
        <w:spacing w:line="264" w:lineRule="auto"/>
        <w:jc w:val="both"/>
        <w:rPr>
          <w:rFonts w:asciiTheme="minorEastAsia" w:eastAsiaTheme="minorEastAsia" w:hAnsiTheme="minorEastAsia"/>
          <w:sz w:val="16"/>
          <w:szCs w:val="16"/>
          <w:lang w:eastAsia="ko-KR"/>
        </w:rPr>
      </w:pPr>
      <w:r w:rsidRPr="00BE5540">
        <w:rPr>
          <w:rStyle w:val="a7"/>
          <w:rFonts w:asciiTheme="minorEastAsia" w:eastAsiaTheme="minorEastAsia" w:hAnsiTheme="minorEastAsia"/>
          <w:sz w:val="16"/>
          <w:szCs w:val="16"/>
        </w:rPr>
        <w:footnoteRef/>
      </w:r>
      <w:r w:rsidRPr="00BE5540">
        <w:rPr>
          <w:rFonts w:asciiTheme="minorEastAsia" w:eastAsiaTheme="minorEastAsia" w:hAnsiTheme="minorEastAsia"/>
          <w:sz w:val="16"/>
          <w:szCs w:val="16"/>
          <w:lang w:eastAsia="ko-KR"/>
        </w:rPr>
        <w:t xml:space="preserve"> </w:t>
      </w:r>
      <w:r w:rsidRPr="00BE5540">
        <w:rPr>
          <w:rFonts w:asciiTheme="minorEastAsia" w:eastAsiaTheme="minorEastAsia" w:hAnsiTheme="minorEastAsia" w:hint="eastAsia"/>
          <w:sz w:val="16"/>
          <w:szCs w:val="16"/>
          <w:lang w:eastAsia="ko-KR"/>
        </w:rPr>
        <w:t xml:space="preserve">안전역 계산에 대한 이 설명은 2019년 규칙안 및 2016년 산업 지침 </w:t>
      </w:r>
      <w:r w:rsidRPr="00BE5540">
        <w:rPr>
          <w:rFonts w:asciiTheme="minorEastAsia" w:eastAsiaTheme="minorEastAsia" w:hAnsiTheme="minorEastAsia" w:hint="eastAsia"/>
          <w:i/>
          <w:iCs/>
          <w:sz w:val="16"/>
          <w:szCs w:val="16"/>
          <w:lang w:eastAsia="ko-KR"/>
        </w:rPr>
        <w:t>비처방 자외선 차단 의약품 — 안전성 및 효과 데이터</w:t>
      </w:r>
      <w:r w:rsidRPr="00BE5540">
        <w:rPr>
          <w:rFonts w:asciiTheme="minorEastAsia" w:eastAsiaTheme="minorEastAsia" w:hAnsiTheme="minorEastAsia" w:hint="eastAsia"/>
          <w:sz w:val="16"/>
          <w:szCs w:val="16"/>
          <w:lang w:eastAsia="ko-KR"/>
        </w:rPr>
        <w:t>(FDA 2016년)에 반영된 내용을 수정한 것이다.</w:t>
      </w:r>
    </w:p>
  </w:footnote>
  <w:footnote w:id="25">
    <w:p w14:paraId="5574A900" w14:textId="05AFCE00" w:rsidR="00547BAE" w:rsidRPr="00BE5540" w:rsidRDefault="00547BAE" w:rsidP="00BE5540">
      <w:pPr>
        <w:pStyle w:val="a9"/>
        <w:spacing w:line="264" w:lineRule="auto"/>
        <w:jc w:val="both"/>
        <w:rPr>
          <w:rFonts w:eastAsiaTheme="minorEastAsia"/>
          <w:lang w:eastAsia="ko-KR"/>
        </w:rPr>
      </w:pPr>
      <w:r w:rsidRPr="00BE5540">
        <w:rPr>
          <w:rStyle w:val="a7"/>
          <w:rFonts w:asciiTheme="minorEastAsia" w:eastAsiaTheme="minorEastAsia" w:hAnsiTheme="minorEastAsia"/>
          <w:sz w:val="16"/>
          <w:szCs w:val="16"/>
        </w:rPr>
        <w:footnoteRef/>
      </w:r>
      <w:r w:rsidRPr="00BE5540">
        <w:rPr>
          <w:rFonts w:asciiTheme="minorEastAsia" w:eastAsiaTheme="minorEastAsia" w:hAnsiTheme="minorEastAsia"/>
          <w:sz w:val="16"/>
          <w:szCs w:val="16"/>
          <w:lang w:eastAsia="ko-KR"/>
        </w:rPr>
        <w:t xml:space="preserve"> </w:t>
      </w:r>
      <w:r w:rsidRPr="00BE5540">
        <w:rPr>
          <w:rFonts w:asciiTheme="minorEastAsia" w:eastAsiaTheme="minorEastAsia" w:hAnsiTheme="minorEastAsia" w:hint="eastAsia"/>
          <w:i/>
          <w:iCs/>
          <w:spacing w:val="-2"/>
          <w:sz w:val="16"/>
          <w:szCs w:val="16"/>
          <w:lang w:eastAsia="ko-KR"/>
        </w:rPr>
        <w:t>만성 사용</w:t>
      </w:r>
      <w:r w:rsidRPr="00BE5540">
        <w:rPr>
          <w:rFonts w:asciiTheme="minorEastAsia" w:eastAsiaTheme="minorEastAsia" w:hAnsiTheme="minorEastAsia" w:hint="eastAsia"/>
          <w:spacing w:val="-2"/>
          <w:sz w:val="16"/>
          <w:szCs w:val="16"/>
          <w:lang w:eastAsia="ko-KR"/>
        </w:rPr>
        <w:t>은 평생 동안 최소 6개월 동안 지속적 또는 간헐적으로 사용하는 것으로 정의된다.</w:t>
      </w:r>
    </w:p>
  </w:footnote>
  <w:footnote w:id="26">
    <w:p w14:paraId="6459ED7C" w14:textId="5E4A458B" w:rsidR="00547BAE" w:rsidRPr="00BD4CB1" w:rsidRDefault="00547BAE" w:rsidP="00BD4CB1">
      <w:pPr>
        <w:pStyle w:val="a9"/>
        <w:spacing w:line="264" w:lineRule="auto"/>
        <w:jc w:val="both"/>
        <w:rPr>
          <w:rFonts w:asciiTheme="minorEastAsia" w:eastAsiaTheme="minorEastAsia" w:hAnsiTheme="minorEastAsia"/>
          <w:spacing w:val="-2"/>
          <w:sz w:val="16"/>
          <w:szCs w:val="16"/>
          <w:lang w:eastAsia="ko-KR"/>
        </w:rPr>
      </w:pPr>
      <w:r w:rsidRPr="00BD4CB1">
        <w:rPr>
          <w:rFonts w:asciiTheme="minorEastAsia" w:eastAsiaTheme="minorEastAsia" w:hAnsiTheme="minorEastAsia"/>
          <w:spacing w:val="-2"/>
          <w:sz w:val="16"/>
          <w:szCs w:val="16"/>
          <w:vertAlign w:val="superscript"/>
          <w:lang w:eastAsia="ko-KR"/>
        </w:rPr>
        <w:footnoteRef/>
      </w:r>
      <w:r w:rsidRPr="00BD4CB1">
        <w:rPr>
          <w:rFonts w:asciiTheme="minorEastAsia" w:eastAsiaTheme="minorEastAsia" w:hAnsiTheme="minorEastAsia"/>
          <w:spacing w:val="-2"/>
          <w:sz w:val="16"/>
          <w:szCs w:val="16"/>
          <w:lang w:eastAsia="ko-KR"/>
        </w:rPr>
        <w:t xml:space="preserve"> </w:t>
      </w:r>
      <w:r w:rsidRPr="00BD4CB1">
        <w:rPr>
          <w:rFonts w:asciiTheme="minorEastAsia" w:eastAsiaTheme="minorEastAsia" w:hAnsiTheme="minorEastAsia" w:hint="eastAsia"/>
          <w:spacing w:val="-2"/>
          <w:sz w:val="16"/>
          <w:szCs w:val="16"/>
          <w:lang w:eastAsia="ko-KR"/>
        </w:rPr>
        <w:t>C</w:t>
      </w:r>
      <w:r w:rsidRPr="00BD4CB1">
        <w:rPr>
          <w:rFonts w:asciiTheme="minorEastAsia" w:eastAsiaTheme="minorEastAsia" w:hAnsiTheme="minorEastAsia" w:hint="eastAsia"/>
          <w:spacing w:val="-2"/>
          <w:sz w:val="16"/>
          <w:szCs w:val="16"/>
          <w:vertAlign w:val="subscript"/>
          <w:lang w:eastAsia="ko-KR"/>
        </w:rPr>
        <w:t>max</w:t>
      </w:r>
      <w:r w:rsidRPr="00BD4CB1">
        <w:rPr>
          <w:rFonts w:asciiTheme="minorEastAsia" w:eastAsiaTheme="minorEastAsia" w:hAnsiTheme="minorEastAsia" w:hint="eastAsia"/>
          <w:spacing w:val="-2"/>
          <w:sz w:val="16"/>
          <w:szCs w:val="16"/>
          <w:lang w:eastAsia="ko-KR"/>
        </w:rPr>
        <w:t>는 최고혈장농도이고, T</w:t>
      </w:r>
      <w:r w:rsidRPr="00BD4CB1">
        <w:rPr>
          <w:rFonts w:asciiTheme="minorEastAsia" w:eastAsiaTheme="minorEastAsia" w:hAnsiTheme="minorEastAsia" w:hint="eastAsia"/>
          <w:spacing w:val="-2"/>
          <w:sz w:val="16"/>
          <w:szCs w:val="16"/>
          <w:vertAlign w:val="subscript"/>
          <w:lang w:eastAsia="ko-KR"/>
        </w:rPr>
        <w:t>max</w:t>
      </w:r>
      <w:r w:rsidRPr="00BD4CB1">
        <w:rPr>
          <w:rFonts w:asciiTheme="minorEastAsia" w:eastAsiaTheme="minorEastAsia" w:hAnsiTheme="minorEastAsia" w:hint="eastAsia"/>
          <w:spacing w:val="-2"/>
          <w:sz w:val="16"/>
          <w:szCs w:val="16"/>
          <w:lang w:eastAsia="ko-KR"/>
        </w:rPr>
        <w:t>는 최고혈장농도에 도달하는 데 걸리는 시간이다.</w:t>
      </w:r>
    </w:p>
  </w:footnote>
  <w:footnote w:id="27">
    <w:p w14:paraId="24F07EF9" w14:textId="2EA899D6" w:rsidR="00547BAE" w:rsidRPr="00B33A77" w:rsidRDefault="00547BAE" w:rsidP="00B33A77">
      <w:pPr>
        <w:pStyle w:val="a9"/>
        <w:spacing w:line="264" w:lineRule="auto"/>
        <w:jc w:val="both"/>
        <w:rPr>
          <w:rFonts w:asciiTheme="minorEastAsia" w:eastAsiaTheme="minorEastAsia" w:hAnsiTheme="minorEastAsia"/>
          <w:sz w:val="16"/>
          <w:szCs w:val="16"/>
          <w:lang w:eastAsia="ko-KR"/>
        </w:rPr>
      </w:pPr>
      <w:r w:rsidRPr="00B33A77">
        <w:rPr>
          <w:rStyle w:val="a7"/>
          <w:rFonts w:asciiTheme="minorEastAsia" w:eastAsiaTheme="minorEastAsia" w:hAnsiTheme="minorEastAsia"/>
          <w:sz w:val="16"/>
          <w:szCs w:val="16"/>
        </w:rPr>
        <w:footnoteRef/>
      </w:r>
      <w:r w:rsidRPr="00B33A77">
        <w:rPr>
          <w:rFonts w:asciiTheme="minorEastAsia" w:eastAsiaTheme="minorEastAsia" w:hAnsiTheme="minorEastAsia"/>
          <w:sz w:val="16"/>
          <w:szCs w:val="16"/>
          <w:lang w:eastAsia="ko-KR"/>
        </w:rPr>
        <w:t xml:space="preserve"> </w:t>
      </w:r>
      <w:r w:rsidRPr="00B33A77">
        <w:rPr>
          <w:rFonts w:asciiTheme="minorEastAsia" w:eastAsiaTheme="minorEastAsia" w:hAnsiTheme="minorEastAsia" w:hint="eastAsia"/>
          <w:sz w:val="16"/>
          <w:szCs w:val="16"/>
          <w:lang w:eastAsia="ko-KR"/>
        </w:rPr>
        <w:t>그러나 섹션 VIII.C.</w:t>
      </w:r>
      <w:proofErr w:type="gramStart"/>
      <w:r w:rsidRPr="00B33A77">
        <w:rPr>
          <w:rFonts w:asciiTheme="minorEastAsia" w:eastAsiaTheme="minorEastAsia" w:hAnsiTheme="minorEastAsia" w:hint="eastAsia"/>
          <w:sz w:val="16"/>
          <w:szCs w:val="16"/>
          <w:lang w:eastAsia="ko-KR"/>
        </w:rPr>
        <w:t>1.b</w:t>
      </w:r>
      <w:proofErr w:type="gramEnd"/>
      <w:r w:rsidRPr="00B33A77">
        <w:rPr>
          <w:rFonts w:asciiTheme="minorEastAsia" w:eastAsiaTheme="minorEastAsia" w:hAnsiTheme="minorEastAsia" w:hint="eastAsia"/>
          <w:sz w:val="16"/>
          <w:szCs w:val="16"/>
          <w:lang w:eastAsia="ko-KR"/>
        </w:rPr>
        <w:t>에 설명된 대로 아보벤존의 광분해 가능성 때문에 아보벤존에 대한 MUsT 프로그램에서 광안정제와 함께 아보벤존을 평가할 것을 권고한다. 경우에 따라 자외선차단제 활성성분(예: 옥토크릴렌)이 광안정제 역할을 할 수 있다. 이러한 경우 MUsT 프로그램은 이러한 성분을 포함할 수 있을 것으로 예상한다.</w:t>
      </w:r>
    </w:p>
  </w:footnote>
  <w:footnote w:id="28">
    <w:p w14:paraId="11D6BE91" w14:textId="4491FAD4" w:rsidR="00547BAE" w:rsidRPr="00B33A77" w:rsidRDefault="00547BAE" w:rsidP="00B33A77">
      <w:pPr>
        <w:pStyle w:val="a9"/>
        <w:spacing w:line="264" w:lineRule="auto"/>
        <w:jc w:val="both"/>
        <w:rPr>
          <w:rFonts w:eastAsiaTheme="minorEastAsia"/>
          <w:lang w:eastAsia="ko-KR"/>
        </w:rPr>
      </w:pPr>
      <w:r w:rsidRPr="00B33A77">
        <w:rPr>
          <w:rStyle w:val="a7"/>
          <w:rFonts w:asciiTheme="minorEastAsia" w:eastAsiaTheme="minorEastAsia" w:hAnsiTheme="minorEastAsia"/>
          <w:sz w:val="16"/>
          <w:szCs w:val="16"/>
        </w:rPr>
        <w:footnoteRef/>
      </w:r>
      <w:r w:rsidRPr="00B33A77">
        <w:rPr>
          <w:rFonts w:asciiTheme="minorEastAsia" w:eastAsiaTheme="minorEastAsia" w:hAnsiTheme="minorEastAsia"/>
          <w:sz w:val="16"/>
          <w:szCs w:val="16"/>
          <w:lang w:eastAsia="ko-KR"/>
        </w:rPr>
        <w:t xml:space="preserve"> </w:t>
      </w:r>
      <w:r w:rsidRPr="00B33A77">
        <w:rPr>
          <w:rFonts w:asciiTheme="minorEastAsia" w:eastAsiaTheme="minorEastAsia" w:hAnsiTheme="minorEastAsia" w:hint="eastAsia"/>
          <w:sz w:val="16"/>
          <w:szCs w:val="16"/>
          <w:lang w:eastAsia="ko-KR"/>
        </w:rPr>
        <w:t xml:space="preserve">FDA는 OTC 의약품 모노그래프에 따라 국소 의약품에 포함시키기 위한 후보 활성성분의 안전성을 뒷받침하기 위한 MUsT 연구 수행에 대한 지침을 관련 권고사항과 함께 발행했다(산업 지침 </w:t>
      </w:r>
      <w:r w:rsidRPr="00B33A77">
        <w:rPr>
          <w:rFonts w:asciiTheme="minorEastAsia" w:eastAsiaTheme="minorEastAsia" w:hAnsiTheme="minorEastAsia" w:hint="eastAsia"/>
          <w:i/>
          <w:iCs/>
          <w:sz w:val="16"/>
          <w:szCs w:val="16"/>
          <w:lang w:eastAsia="ko-KR"/>
        </w:rPr>
        <w:t>일반의약품 모노그래프에 포함시키기 위해 고려 중인 국소 적용 활성성분에 대한 최대 사용 시험: 연구 요소 및 고려사항</w:t>
      </w:r>
      <w:r w:rsidRPr="00B33A77">
        <w:rPr>
          <w:rFonts w:asciiTheme="minorEastAsia" w:eastAsiaTheme="minorEastAsia" w:hAnsiTheme="minorEastAsia" w:hint="eastAsia"/>
          <w:sz w:val="16"/>
          <w:szCs w:val="16"/>
          <w:lang w:eastAsia="ko-KR"/>
        </w:rPr>
        <w:t>(FDA 2019a년) 참조). 또한 FDA는 활성성분의 안전성을 뒷받침하기 위해 MUsT를 수행하는 데 관심이 있는 이해관계자들이 본 기관과 제안된 프로토콜에 대해 논의할 것을 권고한다.</w:t>
      </w:r>
    </w:p>
  </w:footnote>
  <w:footnote w:id="29">
    <w:p w14:paraId="5BAFA9C5" w14:textId="699B1B2A" w:rsidR="00547BAE" w:rsidRPr="00B33A77" w:rsidRDefault="00547BAE" w:rsidP="00B33A77">
      <w:pPr>
        <w:pStyle w:val="a9"/>
        <w:spacing w:line="264" w:lineRule="auto"/>
        <w:jc w:val="both"/>
        <w:rPr>
          <w:rFonts w:asciiTheme="minorEastAsia" w:eastAsiaTheme="minorEastAsia" w:hAnsiTheme="minorEastAsia"/>
          <w:sz w:val="16"/>
          <w:szCs w:val="16"/>
          <w:lang w:eastAsia="ko-KR"/>
        </w:rPr>
      </w:pPr>
      <w:r w:rsidRPr="00B33A77">
        <w:rPr>
          <w:rStyle w:val="a7"/>
          <w:rFonts w:asciiTheme="minorEastAsia" w:eastAsiaTheme="minorEastAsia" w:hAnsiTheme="minorEastAsia"/>
          <w:sz w:val="16"/>
          <w:szCs w:val="16"/>
        </w:rPr>
        <w:footnoteRef/>
      </w:r>
      <w:r w:rsidRPr="00B33A77">
        <w:rPr>
          <w:rFonts w:asciiTheme="minorEastAsia" w:eastAsiaTheme="minorEastAsia" w:hAnsiTheme="minorEastAsia"/>
          <w:sz w:val="16"/>
          <w:szCs w:val="16"/>
          <w:lang w:eastAsia="ko-KR"/>
        </w:rPr>
        <w:t xml:space="preserve"> </w:t>
      </w:r>
      <w:r w:rsidRPr="00B33A77">
        <w:rPr>
          <w:rFonts w:asciiTheme="minorEastAsia" w:eastAsiaTheme="minorEastAsia" w:hAnsiTheme="minorEastAsia" w:hint="eastAsia"/>
          <w:sz w:val="16"/>
          <w:szCs w:val="16"/>
          <w:lang w:eastAsia="ko-KR"/>
        </w:rPr>
        <w:t>아래에서 논의된 바와 같이, 자외선차단제는 치료보다 예방을 목적으로 하기 때문에 MUsT는 건강한 정상 피부를 대상으로 수행해야 한다.</w:t>
      </w:r>
    </w:p>
  </w:footnote>
  <w:footnote w:id="30">
    <w:p w14:paraId="46366458" w14:textId="1983D135" w:rsidR="00547BAE" w:rsidRPr="00DC5582" w:rsidRDefault="00547BAE" w:rsidP="00DC5582">
      <w:pPr>
        <w:pStyle w:val="a9"/>
        <w:spacing w:line="264" w:lineRule="auto"/>
        <w:jc w:val="both"/>
        <w:rPr>
          <w:rFonts w:asciiTheme="minorEastAsia" w:eastAsiaTheme="minorEastAsia" w:hAnsiTheme="minorEastAsia"/>
          <w:sz w:val="16"/>
          <w:szCs w:val="16"/>
          <w:lang w:eastAsia="ko-KR"/>
        </w:rPr>
      </w:pPr>
      <w:r w:rsidRPr="00DC5582">
        <w:rPr>
          <w:rStyle w:val="a7"/>
          <w:rFonts w:asciiTheme="minorEastAsia" w:eastAsiaTheme="minorEastAsia" w:hAnsiTheme="minorEastAsia"/>
          <w:sz w:val="16"/>
          <w:szCs w:val="16"/>
        </w:rPr>
        <w:footnoteRef/>
      </w:r>
      <w:r w:rsidRPr="00DC5582">
        <w:rPr>
          <w:rFonts w:asciiTheme="minorEastAsia" w:eastAsiaTheme="minorEastAsia" w:hAnsiTheme="minorEastAsia"/>
          <w:sz w:val="16"/>
          <w:szCs w:val="16"/>
          <w:lang w:eastAsia="ko-KR"/>
        </w:rPr>
        <w:t xml:space="preserve"> </w:t>
      </w:r>
      <w:r w:rsidRPr="00DC5582">
        <w:rPr>
          <w:rFonts w:asciiTheme="minorEastAsia" w:eastAsiaTheme="minorEastAsia" w:hAnsiTheme="minorEastAsia" w:hint="eastAsia"/>
          <w:sz w:val="16"/>
          <w:szCs w:val="16"/>
          <w:lang w:eastAsia="ko-KR"/>
        </w:rPr>
        <w:t xml:space="preserve">FDA는 연구를 시작하기 전에 FDA 산하 의약품평가연구센터(CDER)의 발암성평가집행위원회에 의한 검토를 위해 발암성 연구 프로토콜을 제출할 것을 권고한다. 발암성 연구에 대한 추가 지침은 FDA 산업 지침 </w:t>
      </w:r>
      <w:r w:rsidRPr="00DC5582">
        <w:rPr>
          <w:rFonts w:asciiTheme="minorEastAsia" w:eastAsiaTheme="minorEastAsia" w:hAnsiTheme="minorEastAsia" w:hint="eastAsia"/>
          <w:i/>
          <w:iCs/>
          <w:sz w:val="16"/>
          <w:szCs w:val="16"/>
          <w:lang w:eastAsia="ko-KR"/>
        </w:rPr>
        <w:t>발암성 연구 프로토콜 제출</w:t>
      </w:r>
      <w:r w:rsidRPr="00DC5582">
        <w:rPr>
          <w:rFonts w:asciiTheme="minorEastAsia" w:eastAsiaTheme="minorEastAsia" w:hAnsiTheme="minorEastAsia" w:hint="eastAsia"/>
          <w:sz w:val="16"/>
          <w:szCs w:val="16"/>
          <w:lang w:eastAsia="ko-KR"/>
        </w:rPr>
        <w:t>(FDA 2002년)을 참조한다.</w:t>
      </w:r>
    </w:p>
  </w:footnote>
  <w:footnote w:id="31">
    <w:p w14:paraId="0F2D9EA1" w14:textId="51B091F5" w:rsidR="00547BAE" w:rsidRPr="00DC5582" w:rsidRDefault="00547BAE" w:rsidP="00DC5582">
      <w:pPr>
        <w:pStyle w:val="a9"/>
        <w:spacing w:line="264" w:lineRule="auto"/>
        <w:jc w:val="both"/>
        <w:rPr>
          <w:rFonts w:asciiTheme="minorEastAsia" w:eastAsiaTheme="minorEastAsia" w:hAnsiTheme="minorEastAsia"/>
          <w:sz w:val="16"/>
          <w:szCs w:val="16"/>
          <w:lang w:eastAsia="ko-KR"/>
        </w:rPr>
      </w:pPr>
      <w:r w:rsidRPr="00DC5582">
        <w:rPr>
          <w:rStyle w:val="a7"/>
          <w:rFonts w:asciiTheme="minorEastAsia" w:eastAsiaTheme="minorEastAsia" w:hAnsiTheme="minorEastAsia"/>
          <w:sz w:val="16"/>
          <w:szCs w:val="16"/>
        </w:rPr>
        <w:footnoteRef/>
      </w:r>
      <w:r w:rsidRPr="00DC5582">
        <w:rPr>
          <w:rFonts w:asciiTheme="minorEastAsia" w:eastAsiaTheme="minorEastAsia" w:hAnsiTheme="minorEastAsia"/>
          <w:sz w:val="16"/>
          <w:szCs w:val="16"/>
          <w:lang w:eastAsia="ko-KR"/>
        </w:rPr>
        <w:t xml:space="preserve"> </w:t>
      </w:r>
      <w:r w:rsidRPr="00DC5582">
        <w:rPr>
          <w:rFonts w:asciiTheme="minorEastAsia" w:eastAsiaTheme="minorEastAsia" w:hAnsiTheme="minorEastAsia" w:hint="eastAsia"/>
          <w:spacing w:val="-2"/>
          <w:sz w:val="16"/>
          <w:szCs w:val="16"/>
          <w:lang w:eastAsia="ko-KR"/>
        </w:rPr>
        <w:t xml:space="preserve">이 역치 개념은 </w:t>
      </w:r>
      <w:r w:rsidRPr="00DC5582">
        <w:rPr>
          <w:rFonts w:asciiTheme="minorEastAsia" w:eastAsiaTheme="minorEastAsia" w:hAnsiTheme="minorEastAsia" w:hint="eastAsia"/>
          <w:sz w:val="16"/>
          <w:szCs w:val="16"/>
          <w:lang w:eastAsia="ko-KR"/>
        </w:rPr>
        <w:t>국제의약품규제조화위원회</w:t>
      </w:r>
      <w:r w:rsidRPr="00DC5582">
        <w:rPr>
          <w:rFonts w:asciiTheme="minorEastAsia" w:eastAsiaTheme="minorEastAsia" w:hAnsiTheme="minorEastAsia" w:hint="eastAsia"/>
          <w:spacing w:val="-2"/>
          <w:sz w:val="16"/>
          <w:szCs w:val="16"/>
          <w:lang w:eastAsia="ko-KR"/>
        </w:rPr>
        <w:t xml:space="preserve">(ICH) 산업 지침 </w:t>
      </w:r>
      <w:r w:rsidRPr="00DC5582">
        <w:rPr>
          <w:rFonts w:asciiTheme="minorEastAsia" w:eastAsiaTheme="minorEastAsia" w:hAnsiTheme="minorEastAsia" w:hint="eastAsia"/>
          <w:i/>
          <w:iCs/>
          <w:spacing w:val="-2"/>
          <w:sz w:val="16"/>
          <w:szCs w:val="16"/>
          <w:lang w:eastAsia="ko-KR"/>
        </w:rPr>
        <w:t>M7(R1) 잠재적 발암 위험을 제한하기 위한 의약품 내 DNA 반응성(돌연변이원성) 불순물 평가 및 관리</w:t>
      </w:r>
      <w:r w:rsidRPr="00DC5582">
        <w:rPr>
          <w:rFonts w:asciiTheme="minorEastAsia" w:eastAsiaTheme="minorEastAsia" w:hAnsiTheme="minorEastAsia" w:hint="eastAsia"/>
          <w:spacing w:val="-2"/>
          <w:sz w:val="16"/>
          <w:szCs w:val="16"/>
          <w:lang w:eastAsia="ko-KR"/>
        </w:rPr>
        <w:t>에서 불순물에 적용되었다(FDA 2018b년). FDA는 자외선차단제 활성성분에 (불순물을 다루는데 사용되는) ICH M7을 적용할 의도가 없음에 유의해야 한다.</w:t>
      </w:r>
    </w:p>
  </w:footnote>
  <w:footnote w:id="32">
    <w:p w14:paraId="620A3CD2" w14:textId="512E1636" w:rsidR="00547BAE" w:rsidRPr="00DC5582" w:rsidRDefault="00547BAE" w:rsidP="00DC5582">
      <w:pPr>
        <w:pStyle w:val="a9"/>
        <w:spacing w:line="264" w:lineRule="auto"/>
        <w:jc w:val="both"/>
        <w:rPr>
          <w:rFonts w:eastAsiaTheme="minorEastAsia"/>
          <w:lang w:eastAsia="ko-KR"/>
        </w:rPr>
      </w:pPr>
      <w:r w:rsidRPr="00DC5582">
        <w:rPr>
          <w:rStyle w:val="a7"/>
          <w:rFonts w:asciiTheme="minorEastAsia" w:eastAsiaTheme="minorEastAsia" w:hAnsiTheme="minorEastAsia"/>
          <w:sz w:val="16"/>
          <w:szCs w:val="16"/>
        </w:rPr>
        <w:footnoteRef/>
      </w:r>
      <w:r w:rsidRPr="00DC5582">
        <w:rPr>
          <w:rFonts w:asciiTheme="minorEastAsia" w:eastAsiaTheme="minorEastAsia" w:hAnsiTheme="minorEastAsia"/>
          <w:sz w:val="16"/>
          <w:szCs w:val="16"/>
          <w:lang w:eastAsia="ko-KR"/>
        </w:rPr>
        <w:t xml:space="preserve"> </w:t>
      </w:r>
      <w:r w:rsidRPr="00DC5582">
        <w:rPr>
          <w:rFonts w:asciiTheme="minorEastAsia" w:eastAsiaTheme="minorEastAsia" w:hAnsiTheme="minorEastAsia" w:hint="eastAsia"/>
          <w:sz w:val="16"/>
          <w:szCs w:val="16"/>
          <w:lang w:eastAsia="ko-KR"/>
        </w:rPr>
        <w:t>이러한 경로의 예로는 성장 및 발달과 관련된 내분비 기능 및 신호 전달 경로가 있다</w:t>
      </w:r>
      <w:r w:rsidRPr="00DC5582">
        <w:rPr>
          <w:rFonts w:asciiTheme="minorEastAsia" w:eastAsiaTheme="minorEastAsia" w:hAnsiTheme="minorEastAsia" w:hint="eastAsia"/>
          <w:spacing w:val="-2"/>
          <w:sz w:val="16"/>
          <w:szCs w:val="16"/>
          <w:lang w:eastAsia="ko-KR"/>
        </w:rPr>
        <w:t>.</w:t>
      </w:r>
    </w:p>
  </w:footnote>
  <w:footnote w:id="33">
    <w:p w14:paraId="625D6D26" w14:textId="5EE086C7" w:rsidR="00547BAE" w:rsidRPr="00DC5582" w:rsidRDefault="00547BAE" w:rsidP="00DC5582">
      <w:pPr>
        <w:pStyle w:val="a9"/>
        <w:spacing w:line="264" w:lineRule="auto"/>
        <w:jc w:val="both"/>
        <w:rPr>
          <w:rFonts w:asciiTheme="minorEastAsia" w:eastAsiaTheme="minorEastAsia" w:hAnsiTheme="minorEastAsia"/>
          <w:sz w:val="16"/>
          <w:szCs w:val="16"/>
          <w:lang w:eastAsia="ko-KR"/>
        </w:rPr>
      </w:pPr>
      <w:r w:rsidRPr="00DC5582">
        <w:rPr>
          <w:rStyle w:val="a7"/>
          <w:rFonts w:asciiTheme="minorEastAsia" w:eastAsiaTheme="minorEastAsia" w:hAnsiTheme="minorEastAsia"/>
          <w:sz w:val="16"/>
          <w:szCs w:val="16"/>
        </w:rPr>
        <w:footnoteRef/>
      </w:r>
      <w:r w:rsidRPr="00DC5582">
        <w:rPr>
          <w:rFonts w:asciiTheme="minorEastAsia" w:eastAsiaTheme="minorEastAsia" w:hAnsiTheme="minorEastAsia"/>
          <w:sz w:val="16"/>
          <w:szCs w:val="16"/>
          <w:lang w:eastAsia="ko-KR"/>
        </w:rPr>
        <w:t xml:space="preserve"> </w:t>
      </w:r>
      <w:r w:rsidRPr="00DC5582">
        <w:rPr>
          <w:rFonts w:asciiTheme="minorEastAsia" w:eastAsiaTheme="minorEastAsia" w:hAnsiTheme="minorEastAsia" w:hint="eastAsia"/>
          <w:sz w:val="16"/>
          <w:szCs w:val="16"/>
          <w:lang w:eastAsia="ko-KR"/>
        </w:rPr>
        <w:t>나노크기의 산화아연은 피부에서 도달할 수 있는 pH에서 인산염과 레시틴이 존재할 때 약간 용해될 수 있다. 그러나 이러한 조건에서도 잠재적으로 흡수될 수 있는 양은 최소한이며 아연의 일일 영양 섭취량보다 훨씬 적다.</w:t>
      </w:r>
    </w:p>
  </w:footnote>
  <w:footnote w:id="34">
    <w:p w14:paraId="78FA54E7" w14:textId="4494E4E3" w:rsidR="00547BAE" w:rsidRPr="00A111F6" w:rsidRDefault="00547BAE" w:rsidP="00A111F6">
      <w:pPr>
        <w:pStyle w:val="a9"/>
        <w:spacing w:line="264" w:lineRule="auto"/>
        <w:jc w:val="both"/>
        <w:rPr>
          <w:rFonts w:asciiTheme="minorEastAsia" w:eastAsiaTheme="minorEastAsia" w:hAnsiTheme="minorEastAsia"/>
          <w:sz w:val="16"/>
          <w:szCs w:val="16"/>
          <w:lang w:eastAsia="ko-KR"/>
        </w:rPr>
      </w:pPr>
      <w:r w:rsidRPr="00A111F6">
        <w:rPr>
          <w:rStyle w:val="a7"/>
          <w:rFonts w:asciiTheme="minorEastAsia" w:eastAsiaTheme="minorEastAsia" w:hAnsiTheme="minorEastAsia"/>
          <w:sz w:val="16"/>
          <w:szCs w:val="16"/>
        </w:rPr>
        <w:footnoteRef/>
      </w:r>
      <w:r w:rsidRPr="00A111F6">
        <w:rPr>
          <w:rFonts w:asciiTheme="minorEastAsia" w:eastAsiaTheme="minorEastAsia" w:hAnsiTheme="minorEastAsia"/>
          <w:sz w:val="16"/>
          <w:szCs w:val="16"/>
          <w:lang w:eastAsia="ko-KR"/>
        </w:rPr>
        <w:t xml:space="preserve"> </w:t>
      </w:r>
      <w:r w:rsidRPr="00A111F6">
        <w:rPr>
          <w:rFonts w:asciiTheme="minorEastAsia" w:eastAsiaTheme="minorEastAsia" w:hAnsiTheme="minorEastAsia" w:hint="eastAsia"/>
          <w:sz w:val="16"/>
          <w:szCs w:val="16"/>
          <w:lang w:eastAsia="ko-KR"/>
        </w:rPr>
        <w:t>이 문헌에는 Procter &amp; Gamble을 위해 Hill Top Research, Inc.가 수행한 (a) 인체 감작(연구 보고서 96-6635-76a 및 96-6635-76b), (b) 인체 광자극/광독성(연구 보고서 96-6634-6676) 및 (c) 인체 광알레르기성(연구 보고서 96- 6633-6376)에 관한 세 가지 임상 안전성 연구가 포함되었다. Proctor &amp; Gamble이 제출한 시민 청원(FDA-1978-N-0018-0639) 및 산화아연 25%를 평가한 5가지 인체 임상 안전성 연구 요약을 포함시켜 유럽연합 집행위원회 산하 화장품 및 비식품 소비재 과학위원회가 작성한 "산화아연에 관한 의견서"(유럽연합 집행위원회 2012년)를 참조한다.</w:t>
      </w:r>
    </w:p>
  </w:footnote>
  <w:footnote w:id="35">
    <w:p w14:paraId="7242EDAA" w14:textId="352D0CCB" w:rsidR="00547BAE" w:rsidRPr="00A111F6" w:rsidRDefault="00547BAE" w:rsidP="00A111F6">
      <w:pPr>
        <w:pStyle w:val="a9"/>
        <w:spacing w:line="264" w:lineRule="auto"/>
        <w:jc w:val="both"/>
        <w:rPr>
          <w:rFonts w:asciiTheme="minorEastAsia" w:eastAsiaTheme="minorEastAsia" w:hAnsiTheme="minorEastAsia"/>
          <w:sz w:val="16"/>
          <w:szCs w:val="16"/>
          <w:lang w:eastAsia="ko-KR"/>
        </w:rPr>
      </w:pPr>
      <w:r w:rsidRPr="00A111F6">
        <w:rPr>
          <w:rStyle w:val="a7"/>
          <w:rFonts w:asciiTheme="minorEastAsia" w:eastAsiaTheme="minorEastAsia" w:hAnsiTheme="minorEastAsia"/>
          <w:sz w:val="16"/>
          <w:szCs w:val="16"/>
        </w:rPr>
        <w:footnoteRef/>
      </w:r>
      <w:r w:rsidRPr="00A111F6">
        <w:rPr>
          <w:rFonts w:asciiTheme="minorEastAsia" w:eastAsiaTheme="minorEastAsia" w:hAnsiTheme="minorEastAsia"/>
          <w:sz w:val="16"/>
          <w:szCs w:val="16"/>
          <w:lang w:eastAsia="ko-KR"/>
        </w:rPr>
        <w:t xml:space="preserve"> </w:t>
      </w:r>
      <w:r w:rsidRPr="00A111F6">
        <w:rPr>
          <w:rFonts w:asciiTheme="minorEastAsia" w:eastAsiaTheme="minorEastAsia" w:hAnsiTheme="minorEastAsia" w:hint="eastAsia"/>
          <w:sz w:val="16"/>
          <w:szCs w:val="16"/>
          <w:lang w:eastAsia="ko-KR"/>
        </w:rPr>
        <w:t>예를 들어, Beeckman외 공저자들의 연구(Beeckman외 공저 2009년); 연방관보 43권 34628~34641페이지(1978년 8월 4일)(피부보호제 활성성분으로 산화 아연 1~25% 사용에 대한 논의: "산화아연은 피부보호제로 널리 인정되었다" 및 산화아연 관련 "문헌에서 국소 독성 보고서는 발견되지 않았다")를 참조한다.</w:t>
      </w:r>
    </w:p>
  </w:footnote>
  <w:footnote w:id="36">
    <w:p w14:paraId="2E2B7D38" w14:textId="70D0AC16" w:rsidR="00547BAE" w:rsidRPr="00FF5933" w:rsidRDefault="00547BAE" w:rsidP="00FF5933">
      <w:pPr>
        <w:pStyle w:val="a9"/>
        <w:spacing w:line="264" w:lineRule="auto"/>
        <w:jc w:val="both"/>
        <w:rPr>
          <w:rFonts w:asciiTheme="minorEastAsia" w:eastAsiaTheme="minorEastAsia" w:hAnsiTheme="minorEastAsia"/>
          <w:sz w:val="16"/>
          <w:szCs w:val="16"/>
          <w:lang w:eastAsia="ko-KR"/>
        </w:rPr>
      </w:pPr>
      <w:r w:rsidRPr="00FF5933">
        <w:rPr>
          <w:rStyle w:val="a7"/>
          <w:rFonts w:asciiTheme="minorEastAsia" w:eastAsiaTheme="minorEastAsia" w:hAnsiTheme="minorEastAsia"/>
          <w:sz w:val="16"/>
          <w:szCs w:val="16"/>
        </w:rPr>
        <w:footnoteRef/>
      </w:r>
      <w:r w:rsidRPr="00FF5933">
        <w:rPr>
          <w:rFonts w:asciiTheme="minorEastAsia" w:eastAsiaTheme="minorEastAsia" w:hAnsiTheme="minorEastAsia"/>
          <w:sz w:val="16"/>
          <w:szCs w:val="16"/>
          <w:lang w:eastAsia="ko-KR"/>
        </w:rPr>
        <w:t xml:space="preserve"> </w:t>
      </w:r>
      <w:r w:rsidRPr="00FF5933">
        <w:rPr>
          <w:rFonts w:asciiTheme="minorEastAsia" w:eastAsiaTheme="minorEastAsia" w:hAnsiTheme="minorEastAsia" w:hint="eastAsia"/>
          <w:sz w:val="16"/>
          <w:szCs w:val="16"/>
          <w:lang w:eastAsia="ko-KR"/>
        </w:rPr>
        <w:t>산화아연에 대한 사용 가능한 비임상 안전성 문헌 검토는 90일 피부 독성 연구, 유전독성, 제한적인 발달 및 생식 독성 정보에 대한 참고문헌을 포함했다. 이러한 문헌을 검토한 결과, 산화아연에 대한 유전독성 결과가 혼재되어 있으며 90일 후 설치류에서 최소한의 피부 독성이 발생한 것으로 나타났다(Li외 공저 2012년; Ryu외 공저 2014년 참조). 경구 쥐 배아태아 독성 연구에 따르면 일부 모체 및 태아에 대한 부작용이 나타났지만, 여기에서 쟁점이 되고 있는 것보다 상당히 높은 초고용량(&gt;200 mg/kg/일)에서만 발생했다(Hong외 공저 2014a년; Hong외 공저 2014b년).</w:t>
      </w:r>
    </w:p>
  </w:footnote>
  <w:footnote w:id="37">
    <w:p w14:paraId="3AD7D5F2" w14:textId="02FE7446" w:rsidR="00547BAE" w:rsidRPr="00D52BAF" w:rsidRDefault="00547BAE" w:rsidP="00D52BAF">
      <w:pPr>
        <w:pStyle w:val="a9"/>
        <w:spacing w:line="264" w:lineRule="auto"/>
        <w:jc w:val="both"/>
        <w:rPr>
          <w:rFonts w:asciiTheme="minorEastAsia" w:eastAsiaTheme="minorEastAsia" w:hAnsiTheme="minorEastAsia"/>
          <w:sz w:val="16"/>
          <w:szCs w:val="16"/>
          <w:lang w:eastAsia="ko-KR"/>
        </w:rPr>
      </w:pPr>
      <w:r w:rsidRPr="00D52BAF">
        <w:rPr>
          <w:rStyle w:val="a7"/>
          <w:rFonts w:asciiTheme="minorEastAsia" w:eastAsiaTheme="minorEastAsia" w:hAnsiTheme="minorEastAsia"/>
          <w:sz w:val="16"/>
          <w:szCs w:val="16"/>
        </w:rPr>
        <w:footnoteRef/>
      </w:r>
      <w:r w:rsidRPr="00D52BAF">
        <w:rPr>
          <w:rFonts w:asciiTheme="minorEastAsia" w:eastAsiaTheme="minorEastAsia" w:hAnsiTheme="minorEastAsia"/>
          <w:sz w:val="16"/>
          <w:szCs w:val="16"/>
          <w:lang w:eastAsia="ko-KR"/>
        </w:rPr>
        <w:t xml:space="preserve"> </w:t>
      </w:r>
      <w:r w:rsidRPr="00D52BAF">
        <w:rPr>
          <w:rFonts w:asciiTheme="minorEastAsia" w:eastAsiaTheme="minorEastAsia" w:hAnsiTheme="minorEastAsia" w:hint="eastAsia"/>
          <w:sz w:val="16"/>
          <w:szCs w:val="16"/>
          <w:lang w:eastAsia="ko-KR"/>
        </w:rPr>
        <w:t>이용 가능한 문헌은 비교적 높은 용량의 이산화티타늄을 경구 투여해도 쥐에서 태아에 미치는 악영향은 나타나지 않았음을 보여주는 데이터(Warheit 및 Brown 2015년)도 포함한다.</w:t>
      </w:r>
    </w:p>
  </w:footnote>
  <w:footnote w:id="38">
    <w:p w14:paraId="5A72B00C" w14:textId="5EB48168" w:rsidR="00547BAE" w:rsidRPr="00D52BAF" w:rsidRDefault="00547BAE" w:rsidP="00D52BAF">
      <w:pPr>
        <w:pStyle w:val="a9"/>
        <w:spacing w:line="264" w:lineRule="auto"/>
        <w:jc w:val="both"/>
        <w:rPr>
          <w:rFonts w:asciiTheme="minorEastAsia" w:eastAsiaTheme="minorEastAsia" w:hAnsiTheme="minorEastAsia"/>
          <w:sz w:val="16"/>
          <w:szCs w:val="16"/>
          <w:lang w:eastAsia="ko-KR"/>
        </w:rPr>
      </w:pPr>
      <w:r w:rsidRPr="00D52BAF">
        <w:rPr>
          <w:rStyle w:val="a7"/>
          <w:rFonts w:asciiTheme="minorEastAsia" w:eastAsiaTheme="minorEastAsia" w:hAnsiTheme="minorEastAsia"/>
          <w:sz w:val="16"/>
          <w:szCs w:val="16"/>
        </w:rPr>
        <w:footnoteRef/>
      </w:r>
      <w:r w:rsidRPr="00D52BAF">
        <w:rPr>
          <w:rFonts w:asciiTheme="minorEastAsia" w:eastAsiaTheme="minorEastAsia" w:hAnsiTheme="minorEastAsia"/>
          <w:sz w:val="16"/>
          <w:szCs w:val="16"/>
          <w:lang w:eastAsia="ko-KR"/>
        </w:rPr>
        <w:t xml:space="preserve"> </w:t>
      </w:r>
      <w:r w:rsidRPr="00D52BAF">
        <w:rPr>
          <w:rFonts w:asciiTheme="minorEastAsia" w:eastAsiaTheme="minorEastAsia" w:hAnsiTheme="minorEastAsia" w:hint="eastAsia"/>
          <w:sz w:val="16"/>
          <w:szCs w:val="16"/>
          <w:lang w:eastAsia="ko-KR"/>
        </w:rPr>
        <w:t>2013년 7월 자외선차단제에서 이산화티타늄의 안전한 사용을 다룬 의견서에서, 유럽연합 집행위원회 산하 소비자안전과학위원회는 최대 5%의 아나타제 결정으로 구성된 이산화티타늄 입자의 경우 "건강한 정상 피부 또는 일광화상을 입은 피부에 적용한 후 인체에 부작용 위험이 없는 것으로 간주할 수 있다"는 의견을 제시했다(유럽연합 집행위원회 2014년). 2016년 이 물리화학적 매개변수는 유럽연합 집행위원회에 의해 UV 필터 또는 화장품 착색제로 이산화티타늄의 사용을 허용한 화장품 규정(규정 (EC) 1223/2009, 2009년 11월 30일)에 통합되었다.</w:t>
      </w:r>
    </w:p>
  </w:footnote>
  <w:footnote w:id="39">
    <w:p w14:paraId="72D4EB8E" w14:textId="236798AF" w:rsidR="00547BAE" w:rsidRPr="00D52BAF" w:rsidRDefault="00547BAE" w:rsidP="00D52BAF">
      <w:pPr>
        <w:pStyle w:val="a9"/>
        <w:spacing w:line="264" w:lineRule="auto"/>
        <w:jc w:val="both"/>
        <w:rPr>
          <w:rFonts w:asciiTheme="minorEastAsia" w:eastAsiaTheme="minorEastAsia" w:hAnsiTheme="minorEastAsia"/>
          <w:sz w:val="16"/>
          <w:szCs w:val="16"/>
          <w:lang w:eastAsia="ko-KR"/>
        </w:rPr>
      </w:pPr>
      <w:r w:rsidRPr="00D52BAF">
        <w:rPr>
          <w:rStyle w:val="a7"/>
          <w:rFonts w:asciiTheme="minorEastAsia" w:eastAsiaTheme="minorEastAsia" w:hAnsiTheme="minorEastAsia"/>
          <w:sz w:val="16"/>
          <w:szCs w:val="16"/>
        </w:rPr>
        <w:footnoteRef/>
      </w:r>
      <w:r w:rsidRPr="00D52BAF">
        <w:rPr>
          <w:rFonts w:asciiTheme="minorEastAsia" w:eastAsiaTheme="minorEastAsia" w:hAnsiTheme="minorEastAsia"/>
          <w:sz w:val="16"/>
          <w:szCs w:val="16"/>
          <w:lang w:eastAsia="ko-KR"/>
        </w:rPr>
        <w:t xml:space="preserve"> </w:t>
      </w:r>
      <w:r w:rsidRPr="00D52BAF">
        <w:rPr>
          <w:rFonts w:asciiTheme="minorEastAsia" w:eastAsiaTheme="minorEastAsia" w:hAnsiTheme="minorEastAsia" w:hint="eastAsia"/>
          <w:sz w:val="16"/>
          <w:szCs w:val="16"/>
          <w:lang w:eastAsia="ko-KR"/>
        </w:rPr>
        <w:t>Id</w:t>
      </w:r>
      <w:r w:rsidRPr="00D52BAF">
        <w:rPr>
          <w:rFonts w:asciiTheme="minorEastAsia" w:eastAsiaTheme="minorEastAsia" w:hAnsiTheme="minorEastAsia" w:hint="eastAsia"/>
          <w:spacing w:val="-5"/>
          <w:sz w:val="16"/>
          <w:szCs w:val="16"/>
          <w:lang w:eastAsia="ko-KR"/>
        </w:rPr>
        <w:t>.</w:t>
      </w:r>
    </w:p>
  </w:footnote>
  <w:footnote w:id="40">
    <w:p w14:paraId="6D18EA11" w14:textId="1D3061E0" w:rsidR="00547BAE" w:rsidRPr="00D52BAF" w:rsidRDefault="00547BAE" w:rsidP="00D52BAF">
      <w:pPr>
        <w:pStyle w:val="a9"/>
        <w:spacing w:line="264" w:lineRule="auto"/>
        <w:jc w:val="both"/>
        <w:rPr>
          <w:rFonts w:eastAsiaTheme="minorEastAsia"/>
          <w:lang w:eastAsia="ko-KR"/>
        </w:rPr>
      </w:pPr>
      <w:r w:rsidRPr="00D52BAF">
        <w:rPr>
          <w:rStyle w:val="a7"/>
          <w:rFonts w:asciiTheme="minorEastAsia" w:eastAsiaTheme="minorEastAsia" w:hAnsiTheme="minorEastAsia"/>
          <w:sz w:val="16"/>
          <w:szCs w:val="16"/>
        </w:rPr>
        <w:footnoteRef/>
      </w:r>
      <w:r w:rsidRPr="00D52BAF">
        <w:rPr>
          <w:rFonts w:asciiTheme="minorEastAsia" w:eastAsiaTheme="minorEastAsia" w:hAnsiTheme="minorEastAsia"/>
          <w:sz w:val="16"/>
          <w:szCs w:val="16"/>
          <w:lang w:eastAsia="ko-KR"/>
        </w:rPr>
        <w:t xml:space="preserve"> </w:t>
      </w:r>
      <w:r w:rsidRPr="00D52BAF">
        <w:rPr>
          <w:rFonts w:asciiTheme="minorEastAsia" w:eastAsiaTheme="minorEastAsia" w:hAnsiTheme="minorEastAsia" w:hint="eastAsia"/>
          <w:sz w:val="16"/>
          <w:szCs w:val="16"/>
          <w:lang w:eastAsia="ko-KR"/>
        </w:rPr>
        <w:t>연방규정 제21편 제330.1조에 명시된 일반적인 GRASE 조건의 내용은 제505G조 제정으로 변경되지 않았다(FD&amp;C법 제505G(k)(1)조 참조).</w:t>
      </w:r>
    </w:p>
  </w:footnote>
  <w:footnote w:id="41">
    <w:p w14:paraId="230CCDB5" w14:textId="6FEB53F2" w:rsidR="00547BAE" w:rsidRPr="00D52BAF" w:rsidRDefault="00547BAE" w:rsidP="00D52BAF">
      <w:pPr>
        <w:pStyle w:val="a9"/>
        <w:spacing w:line="264" w:lineRule="auto"/>
        <w:jc w:val="both"/>
        <w:rPr>
          <w:rFonts w:asciiTheme="minorEastAsia" w:eastAsiaTheme="minorEastAsia" w:hAnsiTheme="minorEastAsia"/>
          <w:sz w:val="16"/>
          <w:szCs w:val="16"/>
          <w:lang w:eastAsia="ko-KR"/>
        </w:rPr>
      </w:pPr>
      <w:r w:rsidRPr="00D52BAF">
        <w:rPr>
          <w:rStyle w:val="a7"/>
          <w:rFonts w:asciiTheme="minorEastAsia" w:eastAsiaTheme="minorEastAsia" w:hAnsiTheme="minorEastAsia"/>
          <w:sz w:val="16"/>
          <w:szCs w:val="16"/>
        </w:rPr>
        <w:footnoteRef/>
      </w:r>
      <w:r w:rsidRPr="00D52BAF">
        <w:rPr>
          <w:rFonts w:asciiTheme="minorEastAsia" w:eastAsiaTheme="minorEastAsia" w:hAnsiTheme="minorEastAsia"/>
          <w:sz w:val="16"/>
          <w:szCs w:val="16"/>
          <w:lang w:eastAsia="ko-KR"/>
        </w:rPr>
        <w:t xml:space="preserve"> </w:t>
      </w:r>
      <w:r w:rsidRPr="00D52BAF">
        <w:rPr>
          <w:rFonts w:asciiTheme="minorEastAsia" w:eastAsiaTheme="minorEastAsia" w:hAnsiTheme="minorEastAsia" w:hint="eastAsia"/>
          <w:sz w:val="16"/>
          <w:szCs w:val="16"/>
          <w:lang w:eastAsia="ko-KR"/>
        </w:rPr>
        <w:t>1969년 이후 자외선차단제 판매량은 쉽게 파악할 수 없다. 그러나 2016년 미국에서 총 161,882,779개의 자외선차단제가 판매되었다(Teplitz외 공저 2018년).</w:t>
      </w:r>
    </w:p>
  </w:footnote>
  <w:footnote w:id="42">
    <w:p w14:paraId="3AA0CCEE" w14:textId="439E7578" w:rsidR="00547BAE" w:rsidRPr="006115E6" w:rsidRDefault="00547BAE" w:rsidP="006115E6">
      <w:pPr>
        <w:pStyle w:val="a9"/>
        <w:spacing w:line="264" w:lineRule="auto"/>
        <w:jc w:val="both"/>
        <w:rPr>
          <w:rFonts w:asciiTheme="minorEastAsia" w:eastAsiaTheme="minorEastAsia" w:hAnsiTheme="minorEastAsia"/>
          <w:sz w:val="16"/>
          <w:szCs w:val="16"/>
          <w:lang w:eastAsia="ko-KR"/>
        </w:rPr>
      </w:pPr>
      <w:r w:rsidRPr="006115E6">
        <w:rPr>
          <w:rStyle w:val="a7"/>
          <w:rFonts w:asciiTheme="minorEastAsia" w:eastAsiaTheme="minorEastAsia" w:hAnsiTheme="minorEastAsia"/>
          <w:sz w:val="16"/>
          <w:szCs w:val="16"/>
        </w:rPr>
        <w:footnoteRef/>
      </w:r>
      <w:r w:rsidRPr="006115E6">
        <w:rPr>
          <w:rFonts w:asciiTheme="minorEastAsia" w:eastAsiaTheme="minorEastAsia" w:hAnsiTheme="minorEastAsia"/>
          <w:sz w:val="16"/>
          <w:szCs w:val="16"/>
          <w:lang w:eastAsia="ko-KR"/>
        </w:rPr>
        <w:t xml:space="preserve"> </w:t>
      </w:r>
      <w:r w:rsidRPr="006115E6">
        <w:rPr>
          <w:rFonts w:asciiTheme="minorEastAsia" w:eastAsiaTheme="minorEastAsia" w:hAnsiTheme="minorEastAsia" w:hint="eastAsia"/>
          <w:sz w:val="16"/>
          <w:szCs w:val="16"/>
          <w:lang w:eastAsia="ko-KR"/>
        </w:rPr>
        <w:t>CARES법 통과 전 OTC 의약품 검토에 대한 규칙제정 시스템에 따라, 본 기관은 고려 중인 치료군의 OTC 의약품이 GRASE이고 부정 표시되지 않는 조건을 제안하는 규칙안을 고시한다. 이러한 규칙안을 잠정 최종 모노그래프라고 한다.</w:t>
      </w:r>
    </w:p>
  </w:footnote>
  <w:footnote w:id="43">
    <w:p w14:paraId="09C161A5" w14:textId="021F67AC" w:rsidR="00547BAE" w:rsidRPr="006115E6" w:rsidRDefault="00547BAE" w:rsidP="006115E6">
      <w:pPr>
        <w:pStyle w:val="a9"/>
        <w:spacing w:line="264" w:lineRule="auto"/>
        <w:jc w:val="both"/>
        <w:rPr>
          <w:rFonts w:asciiTheme="minorEastAsia" w:eastAsiaTheme="minorEastAsia" w:hAnsiTheme="minorEastAsia"/>
          <w:sz w:val="16"/>
          <w:szCs w:val="16"/>
          <w:lang w:eastAsia="ko-KR"/>
        </w:rPr>
      </w:pPr>
      <w:r w:rsidRPr="006115E6">
        <w:rPr>
          <w:rStyle w:val="a7"/>
          <w:rFonts w:asciiTheme="minorEastAsia" w:eastAsiaTheme="minorEastAsia" w:hAnsiTheme="minorEastAsia"/>
          <w:sz w:val="16"/>
          <w:szCs w:val="16"/>
        </w:rPr>
        <w:footnoteRef/>
      </w:r>
      <w:r w:rsidRPr="006115E6">
        <w:rPr>
          <w:rFonts w:asciiTheme="minorEastAsia" w:eastAsiaTheme="minorEastAsia" w:hAnsiTheme="minorEastAsia"/>
          <w:sz w:val="16"/>
          <w:szCs w:val="16"/>
          <w:lang w:eastAsia="ko-KR"/>
        </w:rPr>
        <w:t xml:space="preserve"> </w:t>
      </w:r>
      <w:r w:rsidRPr="006115E6">
        <w:rPr>
          <w:rFonts w:asciiTheme="minorEastAsia" w:eastAsiaTheme="minorEastAsia" w:hAnsiTheme="minorEastAsia" w:hint="eastAsia"/>
          <w:sz w:val="16"/>
          <w:szCs w:val="16"/>
          <w:lang w:eastAsia="ko-KR"/>
        </w:rPr>
        <w:t>이 지침은 SPF가 15 이상인 광범위 스펙트럼 자외선차단제에도 적용된다.</w:t>
      </w:r>
    </w:p>
  </w:footnote>
  <w:footnote w:id="44">
    <w:p w14:paraId="5E4C2AB8" w14:textId="2D0E9FC2" w:rsidR="00547BAE" w:rsidRPr="006115E6" w:rsidRDefault="00547BAE" w:rsidP="006115E6">
      <w:pPr>
        <w:pStyle w:val="a9"/>
        <w:spacing w:line="264" w:lineRule="auto"/>
        <w:jc w:val="both"/>
        <w:rPr>
          <w:rFonts w:eastAsiaTheme="minorEastAsia"/>
          <w:lang w:eastAsia="ko-KR"/>
        </w:rPr>
      </w:pPr>
      <w:r w:rsidRPr="006115E6">
        <w:rPr>
          <w:rStyle w:val="a7"/>
          <w:rFonts w:asciiTheme="minorEastAsia" w:eastAsiaTheme="minorEastAsia" w:hAnsiTheme="minorEastAsia"/>
          <w:sz w:val="16"/>
          <w:szCs w:val="16"/>
        </w:rPr>
        <w:footnoteRef/>
      </w:r>
      <w:r w:rsidRPr="006115E6">
        <w:rPr>
          <w:rFonts w:asciiTheme="minorEastAsia" w:eastAsiaTheme="minorEastAsia" w:hAnsiTheme="minorEastAsia"/>
          <w:sz w:val="16"/>
          <w:szCs w:val="16"/>
          <w:lang w:eastAsia="ko-KR"/>
        </w:rPr>
        <w:t xml:space="preserve"> </w:t>
      </w:r>
      <w:r w:rsidRPr="006115E6">
        <w:rPr>
          <w:rFonts w:asciiTheme="minorEastAsia" w:eastAsiaTheme="minorEastAsia" w:hAnsiTheme="minorEastAsia" w:hint="eastAsia"/>
          <w:sz w:val="16"/>
          <w:szCs w:val="16"/>
          <w:lang w:eastAsia="ko-KR"/>
        </w:rPr>
        <w:t>https://labels.fda.gov에서 확인할 수 있는 제품 라벨링 평가에 근거함(2021년 5월 27일 접속). 또한 외용 진통제 TFM 참조.</w:t>
      </w:r>
    </w:p>
  </w:footnote>
  <w:footnote w:id="45">
    <w:p w14:paraId="3FCFF975" w14:textId="2147B2E7" w:rsidR="00547BAE" w:rsidRPr="006115E6" w:rsidRDefault="00547BAE" w:rsidP="006115E6">
      <w:pPr>
        <w:pStyle w:val="a9"/>
        <w:spacing w:line="264" w:lineRule="auto"/>
        <w:jc w:val="both"/>
        <w:rPr>
          <w:rFonts w:asciiTheme="minorEastAsia" w:eastAsiaTheme="minorEastAsia" w:hAnsiTheme="minorEastAsia"/>
          <w:sz w:val="16"/>
          <w:szCs w:val="16"/>
          <w:lang w:eastAsia="ko-KR"/>
        </w:rPr>
      </w:pPr>
      <w:r w:rsidRPr="006115E6">
        <w:rPr>
          <w:rStyle w:val="a7"/>
          <w:rFonts w:asciiTheme="minorEastAsia" w:eastAsiaTheme="minorEastAsia" w:hAnsiTheme="minorEastAsia"/>
          <w:sz w:val="16"/>
          <w:szCs w:val="16"/>
        </w:rPr>
        <w:footnoteRef/>
      </w:r>
      <w:r w:rsidRPr="006115E6">
        <w:rPr>
          <w:rFonts w:asciiTheme="minorEastAsia" w:eastAsiaTheme="minorEastAsia" w:hAnsiTheme="minorEastAsia"/>
          <w:sz w:val="16"/>
          <w:szCs w:val="16"/>
          <w:lang w:eastAsia="ko-KR"/>
        </w:rPr>
        <w:t xml:space="preserve"> </w:t>
      </w:r>
      <w:r w:rsidRPr="006115E6">
        <w:rPr>
          <w:rFonts w:asciiTheme="minorEastAsia" w:eastAsiaTheme="minorEastAsia" w:hAnsiTheme="minorEastAsia" w:hint="eastAsia"/>
          <w:sz w:val="16"/>
          <w:szCs w:val="16"/>
          <w:lang w:eastAsia="ko-KR"/>
        </w:rPr>
        <w:t>급성 및 만성 살리실산 독성과 관련된 증상은 잘 알려져 있다. 관련 설명은 다음을 비롯한 여러 출처에서 제공된다. 국립의학도서관 독성 데이터 네트워크(ToxNet), "살리실산", 2008년 9월, https://toxnet.nlm.nih.gov/cgi-bin/sis/search/a?dbs+hsdb:@term+@DOCNO+672에서 제공됨(2018년 3월 27일 접속). 살리실산 중독에 대한 종합적인 요약은 § M013에서도 확인할 수 있다.</w:t>
      </w:r>
    </w:p>
  </w:footnote>
  <w:footnote w:id="46">
    <w:p w14:paraId="7A55834B" w14:textId="67428DA2" w:rsidR="00547BAE" w:rsidRPr="006115E6" w:rsidRDefault="00547BAE" w:rsidP="006115E6">
      <w:pPr>
        <w:pStyle w:val="a9"/>
        <w:spacing w:line="264" w:lineRule="auto"/>
        <w:jc w:val="both"/>
        <w:rPr>
          <w:rFonts w:asciiTheme="minorEastAsia" w:eastAsiaTheme="minorEastAsia" w:hAnsiTheme="minorEastAsia"/>
          <w:sz w:val="16"/>
          <w:szCs w:val="16"/>
          <w:lang w:eastAsia="ko-KR"/>
        </w:rPr>
      </w:pPr>
      <w:r w:rsidRPr="006115E6">
        <w:rPr>
          <w:rStyle w:val="a7"/>
          <w:rFonts w:asciiTheme="minorEastAsia" w:eastAsiaTheme="minorEastAsia" w:hAnsiTheme="minorEastAsia"/>
          <w:sz w:val="16"/>
          <w:szCs w:val="16"/>
        </w:rPr>
        <w:footnoteRef/>
      </w:r>
      <w:r w:rsidRPr="006115E6">
        <w:rPr>
          <w:rFonts w:asciiTheme="minorEastAsia" w:eastAsiaTheme="minorEastAsia" w:hAnsiTheme="minorEastAsia"/>
          <w:sz w:val="16"/>
          <w:szCs w:val="16"/>
          <w:lang w:eastAsia="ko-KR"/>
        </w:rPr>
        <w:t xml:space="preserve"> </w:t>
      </w:r>
      <w:r w:rsidRPr="006115E6">
        <w:rPr>
          <w:rFonts w:asciiTheme="minorEastAsia" w:eastAsiaTheme="minorEastAsia" w:hAnsiTheme="minorEastAsia" w:hint="eastAsia"/>
          <w:sz w:val="16"/>
          <w:szCs w:val="16"/>
          <w:lang w:eastAsia="ko-KR"/>
        </w:rPr>
        <w:t>생쥐에서 간 종양이 확인되어 트롤아민의 전신 흡수 증거가 제공되었지만, 의심되는 작용기전은 인간과 관련이 없을 가능성이 높다(국립 독성 프로그램 2004년; 국립 독성 프로그램 1999년). 제안된 기전과 생쥐의 종양 형성 간 인과관계는 밝혀지지 않았다.</w:t>
      </w:r>
    </w:p>
  </w:footnote>
  <w:footnote w:id="47">
    <w:p w14:paraId="457AD659" w14:textId="28BB93D1" w:rsidR="00547BAE" w:rsidRPr="001A22C9" w:rsidRDefault="00547BAE" w:rsidP="001A22C9">
      <w:pPr>
        <w:pStyle w:val="a9"/>
        <w:spacing w:line="264" w:lineRule="auto"/>
        <w:jc w:val="both"/>
        <w:rPr>
          <w:rFonts w:asciiTheme="majorHAnsi" w:eastAsiaTheme="majorHAnsi" w:hAnsiTheme="majorHAnsi"/>
          <w:sz w:val="16"/>
          <w:szCs w:val="16"/>
          <w:lang w:eastAsia="ko-KR"/>
        </w:rPr>
      </w:pPr>
      <w:r w:rsidRPr="001A22C9">
        <w:rPr>
          <w:rStyle w:val="a7"/>
          <w:rFonts w:asciiTheme="majorHAnsi" w:eastAsiaTheme="majorHAnsi" w:hAnsiTheme="majorHAnsi"/>
          <w:sz w:val="16"/>
          <w:szCs w:val="16"/>
        </w:rPr>
        <w:footnoteRef/>
      </w:r>
      <w:r w:rsidRPr="001A22C9">
        <w:rPr>
          <w:rFonts w:asciiTheme="majorHAnsi" w:eastAsiaTheme="majorHAnsi" w:hAnsiTheme="majorHAnsi"/>
          <w:sz w:val="16"/>
          <w:szCs w:val="16"/>
          <w:lang w:eastAsia="ko-KR"/>
        </w:rPr>
        <w:t xml:space="preserve"> </w:t>
      </w:r>
      <w:r w:rsidRPr="001A22C9">
        <w:rPr>
          <w:rFonts w:asciiTheme="majorHAnsi" w:eastAsiaTheme="majorHAnsi" w:hAnsiTheme="majorHAnsi" w:hint="eastAsia"/>
          <w:sz w:val="16"/>
          <w:szCs w:val="16"/>
          <w:lang w:eastAsia="ko-KR"/>
        </w:rPr>
        <w:t>아보벤존, 옥시벤존, 옥토크릴렌, 호모살레이트, 옥티살레이트, 옥티녹세이트 및 에캄슐.</w:t>
      </w:r>
    </w:p>
  </w:footnote>
  <w:footnote w:id="48">
    <w:p w14:paraId="7C56A6A1" w14:textId="2FD89E80" w:rsidR="00547BAE" w:rsidRPr="001A22C9" w:rsidRDefault="00547BAE" w:rsidP="001A22C9">
      <w:pPr>
        <w:pStyle w:val="a9"/>
        <w:spacing w:line="264" w:lineRule="auto"/>
        <w:jc w:val="both"/>
        <w:rPr>
          <w:rFonts w:eastAsiaTheme="minorEastAsia"/>
          <w:lang w:eastAsia="ko-KR"/>
        </w:rPr>
      </w:pPr>
      <w:r w:rsidRPr="001A22C9">
        <w:rPr>
          <w:rStyle w:val="a7"/>
          <w:rFonts w:asciiTheme="majorHAnsi" w:eastAsiaTheme="majorHAnsi" w:hAnsiTheme="majorHAnsi"/>
          <w:sz w:val="16"/>
          <w:szCs w:val="16"/>
        </w:rPr>
        <w:footnoteRef/>
      </w:r>
      <w:r w:rsidRPr="001A22C9">
        <w:rPr>
          <w:rFonts w:asciiTheme="majorHAnsi" w:eastAsiaTheme="majorHAnsi" w:hAnsiTheme="majorHAnsi"/>
          <w:sz w:val="16"/>
          <w:szCs w:val="16"/>
          <w:lang w:eastAsia="ko-KR"/>
        </w:rPr>
        <w:t xml:space="preserve"> </w:t>
      </w:r>
      <w:r w:rsidRPr="001A22C9">
        <w:rPr>
          <w:rFonts w:asciiTheme="majorHAnsi" w:eastAsiaTheme="majorHAnsi" w:hAnsiTheme="majorHAnsi" w:hint="eastAsia"/>
          <w:sz w:val="16"/>
          <w:szCs w:val="16"/>
          <w:lang w:eastAsia="ko-KR"/>
        </w:rPr>
        <w:t>FDA가 수행한 흡수 연구에 따르면 호모살레이트는 체내에 흡수되는 것으로 나타났다.</w:t>
      </w:r>
    </w:p>
  </w:footnote>
  <w:footnote w:id="49">
    <w:p w14:paraId="405AF80D" w14:textId="429751E8" w:rsidR="00547BAE" w:rsidRPr="00A9131F" w:rsidRDefault="00547BAE" w:rsidP="00A9131F">
      <w:pPr>
        <w:pStyle w:val="a9"/>
        <w:spacing w:line="264" w:lineRule="auto"/>
        <w:jc w:val="both"/>
        <w:rPr>
          <w:rFonts w:asciiTheme="majorHAnsi" w:eastAsiaTheme="majorHAnsi" w:hAnsiTheme="majorHAnsi"/>
          <w:sz w:val="16"/>
          <w:szCs w:val="16"/>
          <w:lang w:eastAsia="ko-KR"/>
        </w:rPr>
      </w:pPr>
      <w:r w:rsidRPr="00A9131F">
        <w:rPr>
          <w:rFonts w:asciiTheme="majorHAnsi" w:eastAsiaTheme="majorHAnsi" w:hAnsiTheme="majorHAnsi"/>
          <w:sz w:val="16"/>
          <w:szCs w:val="16"/>
          <w:vertAlign w:val="superscript"/>
          <w:lang w:eastAsia="ko-KR"/>
        </w:rPr>
        <w:footnoteRef/>
      </w:r>
      <w:r w:rsidRPr="00A9131F">
        <w:rPr>
          <w:rFonts w:asciiTheme="majorHAnsi" w:eastAsiaTheme="majorHAnsi" w:hAnsiTheme="majorHAnsi"/>
          <w:sz w:val="16"/>
          <w:szCs w:val="16"/>
          <w:lang w:eastAsia="ko-KR"/>
        </w:rPr>
        <w:t xml:space="preserve"> </w:t>
      </w:r>
      <w:r w:rsidRPr="00A9131F">
        <w:rPr>
          <w:rFonts w:asciiTheme="majorHAnsi" w:eastAsiaTheme="majorHAnsi" w:hAnsiTheme="majorHAnsi" w:hint="eastAsia"/>
          <w:sz w:val="16"/>
          <w:szCs w:val="16"/>
          <w:lang w:eastAsia="ko-KR"/>
        </w:rPr>
        <w:t>이러한 변화는 잠재적으로 과거 통제 데이터(Schlumpf외 공저 2001년)를 통해 해결할 수 있다.</w:t>
      </w:r>
    </w:p>
  </w:footnote>
  <w:footnote w:id="50">
    <w:p w14:paraId="6CAFB6BF" w14:textId="2E2BE7D9" w:rsidR="00547BAE" w:rsidRPr="00A9131F" w:rsidRDefault="00547BAE" w:rsidP="00A9131F">
      <w:pPr>
        <w:pStyle w:val="a9"/>
        <w:spacing w:line="264" w:lineRule="auto"/>
        <w:jc w:val="both"/>
        <w:rPr>
          <w:rFonts w:asciiTheme="majorHAnsi" w:eastAsiaTheme="majorHAnsi" w:hAnsiTheme="majorHAnsi"/>
          <w:sz w:val="16"/>
          <w:szCs w:val="16"/>
          <w:lang w:eastAsia="ko-KR"/>
        </w:rPr>
      </w:pPr>
      <w:r w:rsidRPr="00A9131F">
        <w:rPr>
          <w:rFonts w:asciiTheme="majorHAnsi" w:eastAsiaTheme="majorHAnsi" w:hAnsiTheme="majorHAnsi"/>
          <w:sz w:val="16"/>
          <w:szCs w:val="16"/>
          <w:vertAlign w:val="superscript"/>
          <w:lang w:eastAsia="ko-KR"/>
        </w:rPr>
        <w:footnoteRef/>
      </w:r>
      <w:r w:rsidRPr="00A9131F">
        <w:rPr>
          <w:rFonts w:asciiTheme="majorHAnsi" w:eastAsiaTheme="majorHAnsi" w:hAnsiTheme="majorHAnsi"/>
          <w:sz w:val="16"/>
          <w:szCs w:val="16"/>
          <w:lang w:eastAsia="ko-KR"/>
        </w:rPr>
        <w:t xml:space="preserve"> </w:t>
      </w:r>
      <w:r w:rsidRPr="00A9131F">
        <w:rPr>
          <w:rFonts w:asciiTheme="majorHAnsi" w:eastAsiaTheme="majorHAnsi" w:hAnsiTheme="majorHAnsi" w:hint="eastAsia"/>
          <w:sz w:val="16"/>
          <w:szCs w:val="16"/>
          <w:lang w:eastAsia="ko-KR"/>
        </w:rPr>
        <w:t>당시 탐구할 수 있었던 연구 유형의 예는 FDA 2015b년을 참조한다.</w:t>
      </w:r>
    </w:p>
  </w:footnote>
  <w:footnote w:id="51">
    <w:p w14:paraId="2C578802" w14:textId="2AA3F5A4" w:rsidR="00547BAE" w:rsidRPr="003745C1" w:rsidRDefault="00547BAE" w:rsidP="003745C1">
      <w:pPr>
        <w:pStyle w:val="a9"/>
        <w:spacing w:line="264" w:lineRule="auto"/>
        <w:jc w:val="both"/>
        <w:rPr>
          <w:rFonts w:asciiTheme="minorEastAsia" w:eastAsiaTheme="minorEastAsia" w:hAnsiTheme="minorEastAsia"/>
          <w:sz w:val="16"/>
          <w:szCs w:val="16"/>
          <w:lang w:eastAsia="ko-KR"/>
        </w:rPr>
      </w:pPr>
      <w:r w:rsidRPr="003745C1">
        <w:rPr>
          <w:rStyle w:val="a7"/>
          <w:rFonts w:asciiTheme="minorEastAsia" w:eastAsiaTheme="minorEastAsia" w:hAnsiTheme="minorEastAsia"/>
          <w:sz w:val="16"/>
          <w:szCs w:val="16"/>
        </w:rPr>
        <w:footnoteRef/>
      </w:r>
      <w:r w:rsidRPr="003745C1">
        <w:rPr>
          <w:rFonts w:asciiTheme="minorEastAsia" w:eastAsiaTheme="minorEastAsia" w:hAnsiTheme="minorEastAsia"/>
          <w:sz w:val="16"/>
          <w:szCs w:val="16"/>
          <w:lang w:eastAsia="ko-KR"/>
        </w:rPr>
        <w:t xml:space="preserve"> </w:t>
      </w:r>
      <w:r w:rsidRPr="003745C1">
        <w:rPr>
          <w:rFonts w:asciiTheme="minorEastAsia" w:eastAsiaTheme="minorEastAsia" w:hAnsiTheme="minorEastAsia" w:hint="eastAsia"/>
          <w:i/>
          <w:iCs/>
          <w:color w:val="2A2A2A"/>
          <w:sz w:val="16"/>
          <w:szCs w:val="16"/>
          <w:lang w:eastAsia="ko-KR"/>
        </w:rPr>
        <w:t>활성산소종</w:t>
      </w:r>
      <w:r w:rsidRPr="003745C1">
        <w:rPr>
          <w:rFonts w:asciiTheme="minorEastAsia" w:eastAsiaTheme="minorEastAsia" w:hAnsiTheme="minorEastAsia" w:hint="eastAsia"/>
          <w:color w:val="2A2A2A"/>
          <w:sz w:val="16"/>
          <w:szCs w:val="16"/>
          <w:lang w:eastAsia="ko-KR"/>
        </w:rPr>
        <w:t xml:space="preserve">은 "산소를 포함하고 세포 내 다른 분자와 쉽게 반응하는 불안정한 분자의 한 유형이다. 세포 내에 ROS가 축적되면 DNA, RNA 및 단백질이 손상될 수 있고 세포 사멸이 유발될 수 있다." </w:t>
      </w:r>
      <w:hyperlink r:id="rId7">
        <w:r w:rsidRPr="003745C1">
          <w:rPr>
            <w:rFonts w:asciiTheme="minorEastAsia" w:eastAsiaTheme="minorEastAsia" w:hAnsiTheme="minorEastAsia" w:hint="eastAsia"/>
            <w:color w:val="0000FF"/>
            <w:sz w:val="16"/>
            <w:szCs w:val="16"/>
            <w:u w:val="single" w:color="0000FF"/>
            <w:lang w:eastAsia="ko-KR"/>
          </w:rPr>
          <w:t>https://www.cancer.gov/publications/dictionaries/cancer-terms?cdrid=687227</w:t>
        </w:r>
      </w:hyperlink>
      <w:r w:rsidRPr="003745C1">
        <w:rPr>
          <w:rFonts w:asciiTheme="minorEastAsia" w:eastAsiaTheme="minorEastAsia" w:hAnsiTheme="minorEastAsia" w:hint="eastAsia"/>
          <w:color w:val="0000FF"/>
          <w:sz w:val="16"/>
          <w:szCs w:val="16"/>
          <w:lang w:eastAsia="ko-KR"/>
        </w:rPr>
        <w:t xml:space="preserve"> </w:t>
      </w:r>
      <w:r w:rsidRPr="003745C1">
        <w:rPr>
          <w:rFonts w:asciiTheme="minorEastAsia" w:eastAsiaTheme="minorEastAsia" w:hAnsiTheme="minorEastAsia" w:hint="eastAsia"/>
          <w:sz w:val="16"/>
          <w:szCs w:val="16"/>
          <w:lang w:eastAsia="ko-KR"/>
        </w:rPr>
        <w:t>(2021년 5월 27일 접속)</w:t>
      </w:r>
    </w:p>
  </w:footnote>
  <w:footnote w:id="52">
    <w:p w14:paraId="1BE1C067" w14:textId="778E1E69" w:rsidR="00547BAE" w:rsidRPr="004117D0" w:rsidRDefault="00547BAE" w:rsidP="004117D0">
      <w:pPr>
        <w:pStyle w:val="a9"/>
        <w:spacing w:line="264" w:lineRule="auto"/>
        <w:jc w:val="both"/>
        <w:rPr>
          <w:rFonts w:asciiTheme="minorEastAsia" w:eastAsiaTheme="minorEastAsia" w:hAnsiTheme="minorEastAsia"/>
          <w:color w:val="2A2A2A"/>
          <w:sz w:val="16"/>
          <w:szCs w:val="16"/>
          <w:lang w:eastAsia="ko-KR"/>
        </w:rPr>
      </w:pPr>
      <w:r w:rsidRPr="004117D0">
        <w:rPr>
          <w:rFonts w:asciiTheme="minorEastAsia" w:eastAsiaTheme="minorEastAsia" w:hAnsiTheme="minorEastAsia"/>
          <w:color w:val="2A2A2A"/>
          <w:sz w:val="16"/>
          <w:szCs w:val="16"/>
          <w:vertAlign w:val="superscript"/>
          <w:lang w:eastAsia="ko-KR"/>
        </w:rPr>
        <w:footnoteRef/>
      </w:r>
      <w:r w:rsidRPr="004117D0">
        <w:rPr>
          <w:rFonts w:asciiTheme="minorEastAsia" w:eastAsiaTheme="minorEastAsia" w:hAnsiTheme="minorEastAsia"/>
          <w:color w:val="2A2A2A"/>
          <w:sz w:val="16"/>
          <w:szCs w:val="16"/>
          <w:lang w:eastAsia="ko-KR"/>
        </w:rPr>
        <w:t xml:space="preserve"> </w:t>
      </w:r>
      <w:r w:rsidRPr="004117D0">
        <w:rPr>
          <w:rFonts w:asciiTheme="minorEastAsia" w:eastAsiaTheme="minorEastAsia" w:hAnsiTheme="minorEastAsia" w:hint="eastAsia"/>
          <w:color w:val="2A2A2A"/>
          <w:sz w:val="16"/>
          <w:szCs w:val="16"/>
          <w:lang w:eastAsia="ko-KR"/>
        </w:rPr>
        <w:t>또한 아보벤존의 광분해는 자유 라디칼의 형성을 초래하는데, 자유 라디칼은 이론적으로 감작 및 자극 반응을 일으키고 피부암 및 광노화의 장기 위험을 증가시킬 수 있다(Nash 및 Tanner 2014년).</w:t>
      </w:r>
    </w:p>
  </w:footnote>
  <w:footnote w:id="53">
    <w:p w14:paraId="2C0D5C88" w14:textId="75CE510C" w:rsidR="00547BAE" w:rsidRPr="004117D0" w:rsidRDefault="00547BAE" w:rsidP="004117D0">
      <w:pPr>
        <w:pStyle w:val="a6"/>
        <w:spacing w:line="264" w:lineRule="auto"/>
        <w:jc w:val="both"/>
        <w:rPr>
          <w:rFonts w:asciiTheme="minorEastAsia" w:eastAsiaTheme="minorEastAsia" w:hAnsiTheme="minorEastAsia"/>
          <w:sz w:val="16"/>
          <w:szCs w:val="16"/>
          <w:lang w:eastAsia="ko-KR"/>
        </w:rPr>
      </w:pPr>
      <w:r w:rsidRPr="004117D0">
        <w:rPr>
          <w:rStyle w:val="a7"/>
          <w:rFonts w:asciiTheme="minorEastAsia" w:eastAsiaTheme="minorEastAsia" w:hAnsiTheme="minorEastAsia"/>
          <w:sz w:val="16"/>
          <w:szCs w:val="16"/>
        </w:rPr>
        <w:footnoteRef/>
      </w:r>
      <w:r w:rsidRPr="004117D0">
        <w:rPr>
          <w:rFonts w:asciiTheme="minorEastAsia" w:eastAsiaTheme="minorEastAsia" w:hAnsiTheme="minorEastAsia"/>
          <w:sz w:val="16"/>
          <w:szCs w:val="16"/>
          <w:lang w:eastAsia="ko-KR"/>
        </w:rPr>
        <w:t xml:space="preserve"> </w:t>
      </w:r>
      <w:r w:rsidRPr="004117D0">
        <w:rPr>
          <w:rFonts w:asciiTheme="minorEastAsia" w:eastAsiaTheme="minorEastAsia" w:hAnsiTheme="minorEastAsia" w:hint="eastAsia"/>
          <w:sz w:val="16"/>
          <w:szCs w:val="16"/>
          <w:lang w:eastAsia="ko-KR"/>
        </w:rPr>
        <w:t>FDA-1978-N-0018-0675,</w:t>
      </w:r>
      <w:r w:rsidRPr="004117D0">
        <w:rPr>
          <w:rFonts w:asciiTheme="minorEastAsia" w:eastAsiaTheme="minorEastAsia" w:hAnsiTheme="minorEastAsia" w:hint="eastAsia"/>
          <w:spacing w:val="-9"/>
          <w:sz w:val="16"/>
          <w:szCs w:val="16"/>
          <w:lang w:eastAsia="ko-KR"/>
        </w:rPr>
        <w:t xml:space="preserve"> 2권 제출</w:t>
      </w:r>
      <w:r w:rsidRPr="004117D0">
        <w:rPr>
          <w:rFonts w:asciiTheme="minorEastAsia" w:eastAsiaTheme="minorEastAsia" w:hAnsiTheme="minorEastAsia" w:hint="eastAsia"/>
          <w:sz w:val="16"/>
          <w:szCs w:val="16"/>
          <w:lang w:eastAsia="ko-KR"/>
        </w:rPr>
        <w:t>(2009년 2월 20일)</w:t>
      </w:r>
      <w:r w:rsidRPr="004117D0">
        <w:rPr>
          <w:rFonts w:asciiTheme="minorEastAsia" w:eastAsiaTheme="minorEastAsia" w:hAnsiTheme="minorEastAsia" w:hint="eastAsia"/>
          <w:spacing w:val="-6"/>
          <w:sz w:val="16"/>
          <w:szCs w:val="16"/>
          <w:lang w:eastAsia="ko-KR"/>
        </w:rPr>
        <w:t xml:space="preserve"> </w:t>
      </w:r>
      <w:r w:rsidRPr="004117D0">
        <w:rPr>
          <w:rFonts w:asciiTheme="minorEastAsia" w:eastAsiaTheme="minorEastAsia" w:hAnsiTheme="minorEastAsia" w:hint="eastAsia"/>
          <w:sz w:val="16"/>
          <w:szCs w:val="16"/>
          <w:lang w:eastAsia="ko-KR"/>
        </w:rPr>
        <w:t>(로레알 청원</w:t>
      </w:r>
      <w:r w:rsidRPr="004117D0">
        <w:rPr>
          <w:rFonts w:asciiTheme="minorEastAsia" w:eastAsiaTheme="minorEastAsia" w:hAnsiTheme="minorEastAsia" w:hint="eastAsia"/>
          <w:spacing w:val="-2"/>
          <w:sz w:val="16"/>
          <w:szCs w:val="16"/>
          <w:lang w:eastAsia="ko-KR"/>
        </w:rPr>
        <w:t>).</w:t>
      </w:r>
    </w:p>
  </w:footnote>
  <w:footnote w:id="54">
    <w:p w14:paraId="12EF53BC" w14:textId="25C25F74" w:rsidR="00547BAE" w:rsidRPr="004117D0" w:rsidRDefault="00547BAE" w:rsidP="004117D0">
      <w:pPr>
        <w:pStyle w:val="a6"/>
        <w:spacing w:line="264" w:lineRule="auto"/>
        <w:jc w:val="both"/>
        <w:rPr>
          <w:rFonts w:eastAsiaTheme="minorEastAsia"/>
          <w:lang w:eastAsia="ko-KR"/>
        </w:rPr>
      </w:pPr>
      <w:r w:rsidRPr="004117D0">
        <w:rPr>
          <w:rStyle w:val="a7"/>
          <w:rFonts w:asciiTheme="minorEastAsia" w:eastAsiaTheme="minorEastAsia" w:hAnsiTheme="minorEastAsia"/>
          <w:sz w:val="16"/>
          <w:szCs w:val="16"/>
        </w:rPr>
        <w:footnoteRef/>
      </w:r>
      <w:r w:rsidRPr="004117D0">
        <w:rPr>
          <w:rFonts w:asciiTheme="minorEastAsia" w:eastAsiaTheme="minorEastAsia" w:hAnsiTheme="minorEastAsia"/>
          <w:sz w:val="16"/>
          <w:szCs w:val="16"/>
          <w:lang w:eastAsia="ko-KR"/>
        </w:rPr>
        <w:t xml:space="preserve"> </w:t>
      </w:r>
      <w:r w:rsidRPr="004117D0">
        <w:rPr>
          <w:rFonts w:asciiTheme="minorEastAsia" w:eastAsiaTheme="minorEastAsia" w:hAnsiTheme="minorEastAsia" w:hint="eastAsia"/>
          <w:sz w:val="16"/>
          <w:szCs w:val="16"/>
          <w:lang w:eastAsia="ko-KR"/>
        </w:rPr>
        <w:t>Id.,</w:t>
      </w:r>
      <w:r w:rsidRPr="004117D0">
        <w:rPr>
          <w:rFonts w:asciiTheme="minorEastAsia" w:eastAsiaTheme="minorEastAsia" w:hAnsiTheme="minorEastAsia" w:hint="eastAsia"/>
          <w:spacing w:val="-5"/>
          <w:sz w:val="16"/>
          <w:szCs w:val="16"/>
          <w:lang w:eastAsia="ko-KR"/>
        </w:rPr>
        <w:t xml:space="preserve"> 제I권</w:t>
      </w:r>
      <w:r w:rsidRPr="004117D0">
        <w:rPr>
          <w:rFonts w:asciiTheme="minorEastAsia" w:eastAsiaTheme="minorEastAsia" w:hAnsiTheme="minorEastAsia" w:hint="eastAsia"/>
          <w:sz w:val="16"/>
          <w:szCs w:val="16"/>
          <w:lang w:eastAsia="ko-KR"/>
        </w:rPr>
        <w:t>,</w:t>
      </w:r>
      <w:r w:rsidRPr="004117D0">
        <w:rPr>
          <w:rFonts w:asciiTheme="minorEastAsia" w:eastAsiaTheme="minorEastAsia" w:hAnsiTheme="minorEastAsia" w:hint="eastAsia"/>
          <w:spacing w:val="-2"/>
          <w:sz w:val="16"/>
          <w:szCs w:val="16"/>
          <w:lang w:eastAsia="ko-KR"/>
        </w:rPr>
        <w:t xml:space="preserve"> </w:t>
      </w:r>
      <w:r w:rsidRPr="004117D0">
        <w:rPr>
          <w:rFonts w:asciiTheme="minorEastAsia" w:eastAsiaTheme="minorEastAsia" w:hAnsiTheme="minorEastAsia" w:hint="eastAsia"/>
          <w:sz w:val="16"/>
          <w:szCs w:val="16"/>
          <w:lang w:eastAsia="ko-KR"/>
        </w:rPr>
        <w:t>pp.</w:t>
      </w:r>
      <w:r w:rsidRPr="004117D0">
        <w:rPr>
          <w:rFonts w:asciiTheme="minorEastAsia" w:eastAsiaTheme="minorEastAsia" w:hAnsiTheme="minorEastAsia" w:hint="eastAsia"/>
          <w:spacing w:val="-2"/>
          <w:sz w:val="16"/>
          <w:szCs w:val="16"/>
          <w:lang w:eastAsia="ko-KR"/>
        </w:rPr>
        <w:t xml:space="preserve"> </w:t>
      </w:r>
      <w:r w:rsidRPr="004117D0">
        <w:rPr>
          <w:rFonts w:asciiTheme="minorEastAsia" w:eastAsiaTheme="minorEastAsia" w:hAnsiTheme="minorEastAsia" w:hint="eastAsia"/>
          <w:sz w:val="16"/>
          <w:szCs w:val="16"/>
          <w:lang w:eastAsia="ko-KR"/>
        </w:rPr>
        <w:t>5-</w:t>
      </w:r>
      <w:r w:rsidRPr="004117D0">
        <w:rPr>
          <w:rFonts w:asciiTheme="minorEastAsia" w:eastAsiaTheme="minorEastAsia" w:hAnsiTheme="minorEastAsia" w:hint="eastAsia"/>
          <w:spacing w:val="-5"/>
          <w:sz w:val="16"/>
          <w:szCs w:val="16"/>
          <w:lang w:eastAsia="ko-KR"/>
        </w:rPr>
        <w:t>8.</w:t>
      </w:r>
    </w:p>
  </w:footnote>
  <w:footnote w:id="55">
    <w:p w14:paraId="2E817093" w14:textId="5E42FDD1" w:rsidR="00547BAE" w:rsidRPr="004117D0" w:rsidRDefault="00547BAE" w:rsidP="004117D0">
      <w:pPr>
        <w:pStyle w:val="a6"/>
        <w:spacing w:line="264" w:lineRule="auto"/>
        <w:jc w:val="both"/>
        <w:rPr>
          <w:rFonts w:asciiTheme="minorEastAsia" w:eastAsiaTheme="minorEastAsia" w:hAnsiTheme="minorEastAsia"/>
          <w:sz w:val="16"/>
          <w:szCs w:val="16"/>
          <w:lang w:eastAsia="ko-KR"/>
        </w:rPr>
      </w:pPr>
      <w:r w:rsidRPr="004117D0">
        <w:rPr>
          <w:rStyle w:val="a7"/>
          <w:rFonts w:asciiTheme="minorEastAsia" w:eastAsiaTheme="minorEastAsia" w:hAnsiTheme="minorEastAsia"/>
          <w:sz w:val="16"/>
          <w:szCs w:val="16"/>
        </w:rPr>
        <w:footnoteRef/>
      </w:r>
      <w:r w:rsidRPr="004117D0">
        <w:rPr>
          <w:rFonts w:asciiTheme="minorEastAsia" w:eastAsiaTheme="minorEastAsia" w:hAnsiTheme="minorEastAsia"/>
          <w:sz w:val="16"/>
          <w:szCs w:val="16"/>
          <w:lang w:eastAsia="ko-KR"/>
        </w:rPr>
        <w:t xml:space="preserve"> </w:t>
      </w:r>
      <w:r w:rsidRPr="004117D0">
        <w:rPr>
          <w:rFonts w:asciiTheme="minorEastAsia" w:eastAsiaTheme="minorEastAsia" w:hAnsiTheme="minorEastAsia" w:hint="eastAsia"/>
          <w:sz w:val="16"/>
          <w:szCs w:val="16"/>
          <w:lang w:eastAsia="ko-KR"/>
        </w:rPr>
        <w:t>아보벤존에 대한 이용 가능한 비임상 데이터는 쥐를 대상으로 한 급성 경구 및 피부 독성 연구, 최를 대상으로 한 13주 경구 독성 연구, 쥐를 대상으로 한 28일 피부 독성 연구, 토끼를 대상으로 한 21일 피부 독성 연구, 다수의 시험관 내 유전독성 시험, 생쥐를 대상으로 한 체내 소핵 시험뿐만 아니라 기니피그를 대상으로 한 감작 시험, 토끼를 대상으로 한 일차 피부 자극 시험, 토끼를 대상으로 한 눈 자극 시험, 기니피그를 대상으로 한 광독성 연구, 기니피그를 대상으로 한 광알레르기성 연구 및 쥐와 토끼를 대상으로 한 배아태아 발달 연구를 포함한다(Givaudan-Roure 청원, 문서철 번호 FDA-1978-N-</w:t>
      </w:r>
      <w:bookmarkStart w:id="0" w:name="_Hlk188017667"/>
      <w:r w:rsidRPr="004117D0">
        <w:rPr>
          <w:rFonts w:asciiTheme="minorEastAsia" w:eastAsiaTheme="minorEastAsia" w:hAnsiTheme="minorEastAsia" w:hint="eastAsia"/>
          <w:sz w:val="16"/>
          <w:szCs w:val="16"/>
          <w:lang w:eastAsia="ko-KR"/>
        </w:rPr>
        <w:t>0018-0751). 중요한 점은 (배아태아 발달 연구를 제외하고) 이러한 연구는 만성적으로 사용되는 제품의 안전성 문제를 해결하기에 충분하지 않다는 것이다.</w:t>
      </w:r>
      <w:bookmarkEnd w:id="0"/>
    </w:p>
  </w:footnote>
  <w:footnote w:id="56">
    <w:p w14:paraId="4A76CCC4" w14:textId="22ABC795" w:rsidR="00547BAE" w:rsidRPr="00EC4BD5" w:rsidRDefault="00547BAE" w:rsidP="00EC4BD5">
      <w:pPr>
        <w:pStyle w:val="a6"/>
        <w:spacing w:line="264" w:lineRule="auto"/>
        <w:jc w:val="both"/>
        <w:rPr>
          <w:rFonts w:asciiTheme="minorEastAsia" w:eastAsiaTheme="minorEastAsia" w:hAnsiTheme="minorEastAsia"/>
          <w:sz w:val="16"/>
          <w:szCs w:val="16"/>
          <w:lang w:eastAsia="ko-KR"/>
        </w:rPr>
      </w:pPr>
      <w:r w:rsidRPr="00EC4BD5">
        <w:rPr>
          <w:rStyle w:val="a7"/>
          <w:rFonts w:asciiTheme="minorEastAsia" w:eastAsiaTheme="minorEastAsia" w:hAnsiTheme="minorEastAsia"/>
          <w:sz w:val="16"/>
          <w:szCs w:val="16"/>
        </w:rPr>
        <w:footnoteRef/>
      </w:r>
      <w:r w:rsidRPr="00EC4BD5">
        <w:rPr>
          <w:rFonts w:asciiTheme="minorEastAsia" w:eastAsiaTheme="minorEastAsia" w:hAnsiTheme="minorEastAsia"/>
          <w:sz w:val="16"/>
          <w:szCs w:val="16"/>
          <w:lang w:eastAsia="ko-KR"/>
        </w:rPr>
        <w:t xml:space="preserve"> </w:t>
      </w:r>
      <w:r w:rsidRPr="00EC4BD5">
        <w:rPr>
          <w:rFonts w:asciiTheme="minorEastAsia" w:eastAsiaTheme="minorEastAsia" w:hAnsiTheme="minorEastAsia" w:hint="eastAsia"/>
          <w:sz w:val="16"/>
          <w:szCs w:val="16"/>
          <w:lang w:eastAsia="ko-KR"/>
        </w:rPr>
        <w:t>연방규정 제21편 제330.14조는 FD&amp;C법 제505G조 제정으로 영향을 받은 OTC 의약품 검토를 규제하는 절차를 수립했으며, 적절한 규정 변경이 예정되어 있다(FD&amp;C법 제505G(k)(3)조 참조).</w:t>
      </w:r>
    </w:p>
  </w:footnote>
  <w:footnote w:id="57">
    <w:p w14:paraId="319B3644" w14:textId="74CF4CA9" w:rsidR="00547BAE" w:rsidRPr="006F1819" w:rsidRDefault="00547BAE" w:rsidP="006F1819">
      <w:pPr>
        <w:pStyle w:val="a6"/>
        <w:spacing w:line="264" w:lineRule="auto"/>
        <w:jc w:val="both"/>
        <w:rPr>
          <w:rFonts w:asciiTheme="minorEastAsia" w:eastAsiaTheme="minorEastAsia" w:hAnsiTheme="minorEastAsia"/>
          <w:sz w:val="16"/>
          <w:szCs w:val="16"/>
          <w:lang w:eastAsia="ko-KR"/>
        </w:rPr>
      </w:pPr>
      <w:r w:rsidRPr="006F1819">
        <w:rPr>
          <w:rStyle w:val="a7"/>
          <w:rFonts w:asciiTheme="minorEastAsia" w:eastAsiaTheme="minorEastAsia" w:hAnsiTheme="minorEastAsia"/>
          <w:sz w:val="16"/>
          <w:szCs w:val="16"/>
        </w:rPr>
        <w:footnoteRef/>
      </w:r>
      <w:r w:rsidRPr="006F1819">
        <w:rPr>
          <w:rFonts w:asciiTheme="minorEastAsia" w:eastAsiaTheme="minorEastAsia" w:hAnsiTheme="minorEastAsia"/>
          <w:sz w:val="16"/>
          <w:szCs w:val="16"/>
          <w:lang w:eastAsia="ko-KR"/>
        </w:rPr>
        <w:t xml:space="preserve"> </w:t>
      </w:r>
      <w:r w:rsidRPr="006F1819">
        <w:rPr>
          <w:rFonts w:asciiTheme="minorEastAsia" w:eastAsiaTheme="minorEastAsia" w:hAnsiTheme="minorEastAsia" w:hint="eastAsia"/>
          <w:sz w:val="16"/>
          <w:szCs w:val="16"/>
          <w:lang w:eastAsia="ko-KR"/>
        </w:rPr>
        <w:t>자외선차단제에 적용되는 제505G(a)(1)(A)(ii)조는 투여 형태를 다룬다. 그러나 제505G(m)(2)조는 "이 조항에도 불구하고" 합법적인 시판에 대한 제한을 명시적으로 부과한다.</w:t>
      </w:r>
    </w:p>
  </w:footnote>
  <w:footnote w:id="58">
    <w:p w14:paraId="479886EB" w14:textId="0A8586C0" w:rsidR="00547BAE" w:rsidRPr="006F1819" w:rsidRDefault="00547BAE" w:rsidP="006F1819">
      <w:pPr>
        <w:pStyle w:val="a6"/>
        <w:spacing w:line="264" w:lineRule="auto"/>
        <w:jc w:val="both"/>
        <w:rPr>
          <w:rFonts w:eastAsiaTheme="minorEastAsia"/>
          <w:lang w:eastAsia="ko-KR"/>
        </w:rPr>
      </w:pPr>
      <w:r w:rsidRPr="006F1819">
        <w:rPr>
          <w:rStyle w:val="a7"/>
          <w:rFonts w:asciiTheme="minorEastAsia" w:eastAsiaTheme="minorEastAsia" w:hAnsiTheme="minorEastAsia"/>
          <w:sz w:val="16"/>
          <w:szCs w:val="16"/>
        </w:rPr>
        <w:footnoteRef/>
      </w:r>
      <w:r w:rsidRPr="006F1819">
        <w:rPr>
          <w:rFonts w:asciiTheme="minorEastAsia" w:eastAsiaTheme="minorEastAsia" w:hAnsiTheme="minorEastAsia"/>
          <w:sz w:val="16"/>
          <w:szCs w:val="16"/>
          <w:lang w:eastAsia="ko-KR"/>
        </w:rPr>
        <w:t xml:space="preserve"> </w:t>
      </w:r>
      <w:r w:rsidRPr="006F1819">
        <w:rPr>
          <w:rFonts w:asciiTheme="minorEastAsia" w:eastAsiaTheme="minorEastAsia" w:hAnsiTheme="minorEastAsia" w:hint="eastAsia"/>
          <w:sz w:val="16"/>
          <w:szCs w:val="16"/>
          <w:lang w:eastAsia="ko-KR"/>
        </w:rPr>
        <w:t>연방관보 84권 6024, 6229-6230 페이지, 84 연방관보 84권 6206 및</w:t>
      </w:r>
      <w:r w:rsidRPr="006F1819">
        <w:rPr>
          <w:rFonts w:asciiTheme="minorEastAsia" w:eastAsiaTheme="minorEastAsia" w:hAnsiTheme="minorEastAsia" w:hint="eastAsia"/>
          <w:i/>
          <w:sz w:val="16"/>
          <w:szCs w:val="16"/>
          <w:lang w:eastAsia="ko-KR"/>
        </w:rPr>
        <w:t xml:space="preserve"> </w:t>
      </w:r>
      <w:r w:rsidRPr="006F1819">
        <w:rPr>
          <w:rFonts w:asciiTheme="minorEastAsia" w:eastAsiaTheme="minorEastAsia" w:hAnsiTheme="minorEastAsia" w:hint="eastAsia"/>
          <w:sz w:val="16"/>
          <w:szCs w:val="16"/>
          <w:lang w:eastAsia="ko-KR"/>
        </w:rPr>
        <w:t>6272 페이지도 참조.</w:t>
      </w:r>
    </w:p>
  </w:footnote>
  <w:footnote w:id="59">
    <w:p w14:paraId="641B133A" w14:textId="38D09DAC" w:rsidR="00547BAE" w:rsidRPr="0030232A" w:rsidRDefault="00547BAE" w:rsidP="0030232A">
      <w:pPr>
        <w:pStyle w:val="a6"/>
        <w:spacing w:line="264" w:lineRule="auto"/>
        <w:jc w:val="both"/>
        <w:rPr>
          <w:rFonts w:asciiTheme="minorEastAsia" w:eastAsiaTheme="minorEastAsia" w:hAnsiTheme="minorEastAsia"/>
          <w:sz w:val="16"/>
          <w:szCs w:val="16"/>
          <w:lang w:eastAsia="ko-KR"/>
        </w:rPr>
      </w:pPr>
      <w:r w:rsidRPr="0030232A">
        <w:rPr>
          <w:rStyle w:val="a7"/>
          <w:rFonts w:asciiTheme="minorEastAsia" w:eastAsiaTheme="minorEastAsia" w:hAnsiTheme="minorEastAsia"/>
          <w:sz w:val="16"/>
          <w:szCs w:val="16"/>
        </w:rPr>
        <w:footnoteRef/>
      </w:r>
      <w:r w:rsidRPr="0030232A">
        <w:rPr>
          <w:rFonts w:asciiTheme="minorEastAsia" w:eastAsiaTheme="minorEastAsia" w:hAnsiTheme="minorEastAsia"/>
          <w:sz w:val="16"/>
          <w:szCs w:val="16"/>
          <w:lang w:eastAsia="ko-KR"/>
        </w:rPr>
        <w:t xml:space="preserve"> </w:t>
      </w:r>
      <w:r w:rsidRPr="0030232A">
        <w:rPr>
          <w:rFonts w:asciiTheme="minorEastAsia" w:eastAsiaTheme="minorEastAsia" w:hAnsiTheme="minorEastAsia" w:hint="eastAsia"/>
          <w:sz w:val="16"/>
          <w:szCs w:val="16"/>
          <w:lang w:eastAsia="ko-KR"/>
        </w:rPr>
        <w:t>구체적으로, 의회는 자외선차단제 관련 "최종 모노그래프에 대한 적합성 측면에서 적용되는 요구사항"이 "효과 및 라벨링을 규제하는 해당 요구사항의 경우 [연방규정 제21편] 제201.307조에 명시된 요구사항이라는 점을 제외하고, [연방규정 제21편 제352부의 1999년 공표 버전]에 명시된 요구사항"임을 기준으로 확립했다.</w:t>
      </w:r>
      <w:r w:rsidRPr="0030232A">
        <w:rPr>
          <w:rFonts w:asciiTheme="minorEastAsia" w:eastAsiaTheme="minorEastAsia" w:hAnsiTheme="minorEastAsia"/>
          <w:sz w:val="16"/>
          <w:szCs w:val="16"/>
          <w:lang w:eastAsia="ko-KR"/>
        </w:rPr>
        <w:t xml:space="preserve"> </w:t>
      </w:r>
      <w:r w:rsidRPr="0030232A">
        <w:rPr>
          <w:rFonts w:asciiTheme="minorEastAsia" w:eastAsiaTheme="minorEastAsia" w:hAnsiTheme="minorEastAsia" w:hint="eastAsia"/>
          <w:sz w:val="16"/>
          <w:szCs w:val="16"/>
          <w:lang w:eastAsia="ko-KR"/>
        </w:rPr>
        <w:t>최대 SPF를 다룬 제352부의 1999년 버전에서 유일한 조항은 라벨링 조항이었다(연방관보 64권 27662, 27688 페이지, 연방규정 제21편 제352.50조 제정). 따라서 최대 라벨링 SPF 조항을 포함하지 않는 연방규정 제21편 제201.327조의 라벨링 조항으로 대체되었다.</w:t>
      </w:r>
    </w:p>
  </w:footnote>
  <w:footnote w:id="60">
    <w:p w14:paraId="3BC81498" w14:textId="59C8745F" w:rsidR="00547BAE" w:rsidRPr="002C531C" w:rsidRDefault="00547BAE" w:rsidP="002C531C">
      <w:pPr>
        <w:pStyle w:val="a6"/>
        <w:spacing w:line="264" w:lineRule="auto"/>
        <w:jc w:val="both"/>
        <w:rPr>
          <w:rFonts w:asciiTheme="minorEastAsia" w:eastAsiaTheme="minorEastAsia" w:hAnsiTheme="minorEastAsia"/>
          <w:sz w:val="16"/>
          <w:szCs w:val="16"/>
          <w:lang w:eastAsia="ko-KR"/>
        </w:rPr>
      </w:pPr>
      <w:r w:rsidRPr="002C531C">
        <w:rPr>
          <w:rStyle w:val="a7"/>
          <w:rFonts w:asciiTheme="minorEastAsia" w:eastAsiaTheme="minorEastAsia" w:hAnsiTheme="minorEastAsia"/>
          <w:sz w:val="16"/>
          <w:szCs w:val="16"/>
        </w:rPr>
        <w:footnoteRef/>
      </w:r>
      <w:r w:rsidRPr="002C531C">
        <w:rPr>
          <w:rFonts w:asciiTheme="minorEastAsia" w:eastAsiaTheme="minorEastAsia" w:hAnsiTheme="minorEastAsia"/>
          <w:sz w:val="16"/>
          <w:szCs w:val="16"/>
          <w:lang w:eastAsia="ko-KR"/>
        </w:rPr>
        <w:t xml:space="preserve"> </w:t>
      </w:r>
      <w:r w:rsidRPr="002C531C">
        <w:rPr>
          <w:rFonts w:asciiTheme="minorEastAsia" w:eastAsiaTheme="minorEastAsia" w:hAnsiTheme="minorEastAsia" w:hint="eastAsia"/>
          <w:sz w:val="16"/>
          <w:szCs w:val="16"/>
          <w:lang w:eastAsia="ko-KR"/>
        </w:rPr>
        <w:t xml:space="preserve">섹션 </w:t>
      </w:r>
      <w:proofErr w:type="gramStart"/>
      <w:r w:rsidRPr="002C531C">
        <w:rPr>
          <w:rFonts w:asciiTheme="minorEastAsia" w:eastAsiaTheme="minorEastAsia" w:hAnsiTheme="minorEastAsia" w:hint="eastAsia"/>
          <w:sz w:val="16"/>
          <w:szCs w:val="16"/>
          <w:lang w:eastAsia="ko-KR"/>
        </w:rPr>
        <w:t>VI.</w:t>
      </w:r>
      <w:proofErr w:type="gramEnd"/>
      <w:r w:rsidRPr="002C531C">
        <w:rPr>
          <w:rFonts w:asciiTheme="minorEastAsia" w:eastAsiaTheme="minorEastAsia" w:hAnsiTheme="minorEastAsia" w:hint="eastAsia"/>
          <w:sz w:val="16"/>
          <w:szCs w:val="16"/>
          <w:lang w:eastAsia="ko-KR"/>
        </w:rPr>
        <w:t>E.iv.2.IX에 설명된 바와 같이, FDA가 이 문제에 대해 받은 피드백에 대응하여 광범위 스펙트럼 시험에 대한 장비 규격을 약간 수정하고, 기존의 기대사항을 명확히 하기 위해 현재 문구를 약간 수정할 것을 제안하고 있다.</w:t>
      </w:r>
    </w:p>
  </w:footnote>
  <w:footnote w:id="61">
    <w:p w14:paraId="752B00C6" w14:textId="75AB4A11" w:rsidR="00547BAE" w:rsidRPr="00B37AB0" w:rsidRDefault="00547BAE" w:rsidP="00B37AB0">
      <w:pPr>
        <w:pStyle w:val="a6"/>
        <w:spacing w:line="264" w:lineRule="auto"/>
        <w:jc w:val="both"/>
        <w:rPr>
          <w:rFonts w:asciiTheme="minorEastAsia" w:eastAsiaTheme="minorEastAsia" w:hAnsiTheme="minorEastAsia"/>
          <w:sz w:val="16"/>
          <w:szCs w:val="16"/>
          <w:lang w:eastAsia="ko-KR"/>
        </w:rPr>
      </w:pPr>
      <w:r w:rsidRPr="00B37AB0">
        <w:rPr>
          <w:rFonts w:asciiTheme="minorEastAsia" w:eastAsiaTheme="minorEastAsia" w:hAnsiTheme="minorEastAsia"/>
          <w:sz w:val="16"/>
          <w:szCs w:val="16"/>
          <w:vertAlign w:val="superscript"/>
          <w:lang w:eastAsia="ko-KR"/>
        </w:rPr>
        <w:footnoteRef/>
      </w:r>
      <w:r w:rsidRPr="00B37AB0">
        <w:rPr>
          <w:rFonts w:asciiTheme="minorEastAsia" w:eastAsiaTheme="minorEastAsia" w:hAnsiTheme="minorEastAsia"/>
          <w:sz w:val="16"/>
          <w:szCs w:val="16"/>
          <w:lang w:eastAsia="ko-KR"/>
        </w:rPr>
        <w:t xml:space="preserve"> </w:t>
      </w:r>
      <w:r w:rsidRPr="00B37AB0">
        <w:rPr>
          <w:rFonts w:asciiTheme="minorEastAsia" w:eastAsiaTheme="minorEastAsia" w:hAnsiTheme="minorEastAsia" w:hint="eastAsia"/>
          <w:sz w:val="16"/>
          <w:szCs w:val="16"/>
          <w:lang w:eastAsia="ko-KR"/>
        </w:rPr>
        <w:t>이러한 제품이 FD&amp;C법 제201(p)(1)조에 따라 GRASE임을 제안한다. FD&amp;C법 제505G(b)(1)(A)조 참조.</w:t>
      </w:r>
    </w:p>
  </w:footnote>
  <w:footnote w:id="62">
    <w:p w14:paraId="310FC2D1" w14:textId="346757BD" w:rsidR="00547BAE" w:rsidRPr="00B37AB0" w:rsidRDefault="00547BAE" w:rsidP="00B37AB0">
      <w:pPr>
        <w:pStyle w:val="a6"/>
        <w:spacing w:line="264" w:lineRule="auto"/>
        <w:jc w:val="both"/>
        <w:rPr>
          <w:rFonts w:eastAsiaTheme="minorEastAsia"/>
          <w:lang w:eastAsia="ko-KR"/>
        </w:rPr>
      </w:pPr>
      <w:r w:rsidRPr="00B37AB0">
        <w:rPr>
          <w:rFonts w:asciiTheme="minorEastAsia" w:eastAsiaTheme="minorEastAsia" w:hAnsiTheme="minorEastAsia"/>
          <w:sz w:val="16"/>
          <w:szCs w:val="16"/>
          <w:vertAlign w:val="superscript"/>
          <w:lang w:eastAsia="ko-KR"/>
        </w:rPr>
        <w:footnoteRef/>
      </w:r>
      <w:r w:rsidRPr="00B37AB0">
        <w:rPr>
          <w:rFonts w:asciiTheme="minorEastAsia" w:eastAsiaTheme="minorEastAsia" w:hAnsiTheme="minorEastAsia"/>
          <w:sz w:val="16"/>
          <w:szCs w:val="16"/>
          <w:lang w:eastAsia="ko-KR"/>
        </w:rPr>
        <w:t xml:space="preserve"> </w:t>
      </w:r>
      <w:r w:rsidRPr="00B37AB0">
        <w:rPr>
          <w:rFonts w:asciiTheme="minorEastAsia" w:eastAsiaTheme="minorEastAsia" w:hAnsiTheme="minorEastAsia" w:hint="eastAsia"/>
          <w:sz w:val="16"/>
          <w:szCs w:val="16"/>
          <w:lang w:eastAsia="ko-KR"/>
        </w:rPr>
        <w:t>섹션 III.A.2에서 언급한 바와 같이, SPF가 15 이상인 광범위 스펙트럼 자외선차단제만 피부암과 조기 피부 노화를 예방하는 데 도움이 되는 것으로 나타났다.</w:t>
      </w:r>
    </w:p>
  </w:footnote>
  <w:footnote w:id="63">
    <w:p w14:paraId="69B00CA6" w14:textId="1B142466" w:rsidR="00547BAE" w:rsidRPr="0014084F" w:rsidRDefault="00547BAE" w:rsidP="0014084F">
      <w:pPr>
        <w:pStyle w:val="a6"/>
        <w:spacing w:line="264" w:lineRule="auto"/>
        <w:jc w:val="both"/>
        <w:rPr>
          <w:rFonts w:asciiTheme="minorEastAsia" w:eastAsiaTheme="minorEastAsia" w:hAnsiTheme="minorEastAsia"/>
          <w:sz w:val="16"/>
          <w:szCs w:val="16"/>
          <w:lang w:eastAsia="ko-KR"/>
        </w:rPr>
      </w:pPr>
      <w:r w:rsidRPr="0014084F">
        <w:rPr>
          <w:rFonts w:asciiTheme="minorEastAsia" w:eastAsiaTheme="minorEastAsia" w:hAnsiTheme="minorEastAsia"/>
          <w:sz w:val="16"/>
          <w:szCs w:val="16"/>
          <w:vertAlign w:val="superscript"/>
          <w:lang w:eastAsia="ko-KR"/>
        </w:rPr>
        <w:footnoteRef/>
      </w:r>
      <w:r w:rsidRPr="0014084F">
        <w:rPr>
          <w:rFonts w:asciiTheme="minorEastAsia" w:eastAsiaTheme="minorEastAsia" w:hAnsiTheme="minorEastAsia"/>
          <w:sz w:val="16"/>
          <w:szCs w:val="16"/>
          <w:lang w:eastAsia="ko-KR"/>
        </w:rPr>
        <w:t xml:space="preserve"> </w:t>
      </w:r>
      <w:r w:rsidRPr="0014084F">
        <w:rPr>
          <w:rFonts w:asciiTheme="minorEastAsia" w:eastAsiaTheme="minorEastAsia" w:hAnsiTheme="minorEastAsia" w:hint="eastAsia"/>
          <w:sz w:val="16"/>
          <w:szCs w:val="16"/>
          <w:lang w:eastAsia="ko-KR"/>
        </w:rPr>
        <w:t xml:space="preserve">이 명령안에 사용된 대로, 결정된 SPF 값은 제안된 § M020.80에 따라 자외선차단제에 대해 산출된 SPF </w:t>
      </w:r>
      <w:r w:rsidRPr="0014084F">
        <w:rPr>
          <w:rFonts w:ascii="바탕" w:eastAsia="바탕" w:hAnsi="바탕" w:cs="바탕" w:hint="eastAsia"/>
          <w:sz w:val="16"/>
          <w:szCs w:val="16"/>
          <w:lang w:eastAsia="ko-KR"/>
        </w:rPr>
        <w:t>−</w:t>
      </w:r>
      <w:r w:rsidRPr="0014084F">
        <w:rPr>
          <w:rFonts w:asciiTheme="minorEastAsia" w:eastAsiaTheme="minorEastAsia" w:hAnsiTheme="minorEastAsia" w:hint="eastAsia"/>
          <w:sz w:val="16"/>
          <w:szCs w:val="16"/>
          <w:lang w:eastAsia="ko-KR"/>
        </w:rPr>
        <w:t xml:space="preserve"> (t </w:t>
      </w:r>
      <w:r w:rsidRPr="0014084F">
        <w:rPr>
          <w:rFonts w:ascii="MS Gothic" w:eastAsia="MS Gothic" w:hAnsi="MS Gothic" w:cs="MS Gothic" w:hint="eastAsia"/>
          <w:sz w:val="16"/>
          <w:szCs w:val="16"/>
          <w:lang w:eastAsia="ko-KR"/>
        </w:rPr>
        <w:t>∗</w:t>
      </w:r>
      <w:r w:rsidRPr="0014084F">
        <w:rPr>
          <w:rFonts w:asciiTheme="minorEastAsia" w:eastAsiaTheme="minorEastAsia" w:hAnsiTheme="minorEastAsia" w:hint="eastAsia"/>
          <w:sz w:val="16"/>
          <w:szCs w:val="16"/>
          <w:lang w:eastAsia="ko-KR"/>
        </w:rPr>
        <w:t xml:space="preserve"> SE)보다 작은 가장 큰 정수와 같은 SPF 값이다. 모노그래프의 § M020.3에서 이 용어를 정의할 것을 제안한다.</w:t>
      </w:r>
    </w:p>
  </w:footnote>
  <w:footnote w:id="64">
    <w:p w14:paraId="3FAFA9D5" w14:textId="0669CB3A" w:rsidR="00547BAE" w:rsidRPr="0014084F" w:rsidRDefault="00547BAE" w:rsidP="0014084F">
      <w:pPr>
        <w:pStyle w:val="a6"/>
        <w:spacing w:line="264" w:lineRule="auto"/>
        <w:jc w:val="both"/>
        <w:rPr>
          <w:rFonts w:asciiTheme="minorEastAsia" w:eastAsiaTheme="minorEastAsia" w:hAnsiTheme="minorEastAsia"/>
          <w:sz w:val="16"/>
          <w:szCs w:val="16"/>
          <w:lang w:eastAsia="ko-KR"/>
        </w:rPr>
      </w:pPr>
      <w:r w:rsidRPr="0014084F">
        <w:rPr>
          <w:rFonts w:asciiTheme="minorEastAsia" w:eastAsiaTheme="minorEastAsia" w:hAnsiTheme="minorEastAsia"/>
          <w:sz w:val="16"/>
          <w:szCs w:val="16"/>
          <w:vertAlign w:val="superscript"/>
          <w:lang w:eastAsia="ko-KR"/>
        </w:rPr>
        <w:footnoteRef/>
      </w:r>
      <w:r w:rsidRPr="0014084F">
        <w:rPr>
          <w:rFonts w:asciiTheme="minorEastAsia" w:eastAsiaTheme="minorEastAsia" w:hAnsiTheme="minorEastAsia"/>
          <w:sz w:val="16"/>
          <w:szCs w:val="16"/>
          <w:lang w:eastAsia="ko-KR"/>
        </w:rPr>
        <w:t xml:space="preserve"> </w:t>
      </w:r>
      <w:r w:rsidRPr="0014084F">
        <w:rPr>
          <w:rFonts w:asciiTheme="minorEastAsia" w:eastAsiaTheme="minorEastAsia" w:hAnsiTheme="minorEastAsia" w:hint="eastAsia"/>
          <w:sz w:val="16"/>
          <w:szCs w:val="16"/>
          <w:lang w:eastAsia="ko-KR"/>
        </w:rPr>
        <w:t>최소홍반량(MED)은 UV 노출 후 16~24시간 사이에 경계가 명확하게 정의된 눈에 띄는 피부 발적(홍반)을 유발하는 최소 UV 조사량이다(최종간주명령의 § M020.80(e)(1), 본 제안의 § M020.80(f)(1)도 참조).</w:t>
      </w:r>
    </w:p>
  </w:footnote>
  <w:footnote w:id="65">
    <w:p w14:paraId="0F8441DF" w14:textId="42B2C566" w:rsidR="00547BAE" w:rsidRPr="0014084F" w:rsidRDefault="00547BAE" w:rsidP="0014084F">
      <w:pPr>
        <w:pStyle w:val="a6"/>
        <w:spacing w:line="264" w:lineRule="auto"/>
        <w:jc w:val="both"/>
        <w:rPr>
          <w:rFonts w:eastAsiaTheme="minorEastAsia"/>
          <w:lang w:eastAsia="ko-KR"/>
        </w:rPr>
      </w:pPr>
      <w:r w:rsidRPr="0014084F">
        <w:rPr>
          <w:rFonts w:asciiTheme="minorEastAsia" w:eastAsiaTheme="minorEastAsia" w:hAnsiTheme="minorEastAsia"/>
          <w:sz w:val="16"/>
          <w:szCs w:val="16"/>
          <w:vertAlign w:val="superscript"/>
          <w:lang w:eastAsia="ko-KR"/>
        </w:rPr>
        <w:footnoteRef/>
      </w:r>
      <w:r w:rsidRPr="0014084F">
        <w:rPr>
          <w:rFonts w:asciiTheme="minorEastAsia" w:eastAsiaTheme="minorEastAsia" w:hAnsiTheme="minorEastAsia"/>
          <w:sz w:val="16"/>
          <w:szCs w:val="16"/>
          <w:lang w:eastAsia="ko-KR"/>
        </w:rPr>
        <w:t xml:space="preserve"> </w:t>
      </w:r>
      <w:r w:rsidRPr="0014084F">
        <w:rPr>
          <w:rFonts w:asciiTheme="minorEastAsia" w:eastAsiaTheme="minorEastAsia" w:hAnsiTheme="minorEastAsia" w:hint="eastAsia"/>
          <w:sz w:val="16"/>
          <w:szCs w:val="16"/>
          <w:lang w:eastAsia="ko-KR"/>
        </w:rPr>
        <w:t>각 피험자의 SPF 결정은 비보호 피부의 최종 MED 대비 보호된 피부의 MED 비율을 통해 계산한다. 비보호 피부의 최종 MED가 15% 과소평가되고 보호된 피부의 MED가 15% 과대평가된 시나리오에서는 개별 피험자에 대해 약 30%의 변동성이 발생한다.</w:t>
      </w:r>
    </w:p>
  </w:footnote>
  <w:footnote w:id="66">
    <w:p w14:paraId="1A5B04D2" w14:textId="4F0AF5D8" w:rsidR="00547BAE" w:rsidRPr="00165DB9" w:rsidRDefault="00547BAE" w:rsidP="00165DB9">
      <w:pPr>
        <w:pStyle w:val="a6"/>
        <w:spacing w:line="264" w:lineRule="auto"/>
        <w:jc w:val="both"/>
        <w:rPr>
          <w:rFonts w:asciiTheme="minorEastAsia" w:eastAsiaTheme="minorEastAsia" w:hAnsiTheme="minorEastAsia"/>
          <w:sz w:val="16"/>
          <w:szCs w:val="16"/>
          <w:lang w:eastAsia="ko-KR"/>
        </w:rPr>
      </w:pPr>
      <w:r w:rsidRPr="00165DB9">
        <w:rPr>
          <w:rFonts w:asciiTheme="minorEastAsia" w:eastAsiaTheme="minorEastAsia" w:hAnsiTheme="minorEastAsia"/>
          <w:sz w:val="16"/>
          <w:szCs w:val="16"/>
          <w:vertAlign w:val="superscript"/>
          <w:lang w:eastAsia="ko-KR"/>
        </w:rPr>
        <w:footnoteRef/>
      </w:r>
      <w:r w:rsidRPr="00165DB9">
        <w:rPr>
          <w:rFonts w:asciiTheme="minorEastAsia" w:eastAsiaTheme="minorEastAsia" w:hAnsiTheme="minorEastAsia"/>
          <w:sz w:val="16"/>
          <w:szCs w:val="16"/>
          <w:lang w:eastAsia="ko-KR"/>
        </w:rPr>
        <w:t xml:space="preserve"> </w:t>
      </w:r>
      <w:r w:rsidRPr="00165DB9">
        <w:rPr>
          <w:rFonts w:asciiTheme="minorEastAsia" w:eastAsiaTheme="minorEastAsia" w:hAnsiTheme="minorEastAsia" w:hint="eastAsia"/>
          <w:sz w:val="16"/>
          <w:szCs w:val="16"/>
          <w:lang w:eastAsia="ko-KR"/>
        </w:rPr>
        <w:t>제품 라벨에 SPF 값을 나타내는 범위를 사용하는 것은 이미 호주 및 유럽연합에서 사용되고 있다(의약품관리국 2016년, 유럽연합 집행위원회 2006년).</w:t>
      </w:r>
    </w:p>
  </w:footnote>
  <w:footnote w:id="67">
    <w:p w14:paraId="32E5840F" w14:textId="59E715CA" w:rsidR="00547BAE" w:rsidRPr="00165DB9" w:rsidRDefault="00547BAE" w:rsidP="00165DB9">
      <w:pPr>
        <w:pStyle w:val="a6"/>
        <w:spacing w:line="264" w:lineRule="auto"/>
        <w:jc w:val="both"/>
        <w:rPr>
          <w:rFonts w:eastAsiaTheme="minorEastAsia"/>
          <w:lang w:eastAsia="ko-KR"/>
        </w:rPr>
      </w:pPr>
      <w:r w:rsidRPr="00165DB9">
        <w:rPr>
          <w:rFonts w:asciiTheme="minorEastAsia" w:eastAsiaTheme="minorEastAsia" w:hAnsiTheme="minorEastAsia"/>
          <w:sz w:val="16"/>
          <w:szCs w:val="16"/>
          <w:vertAlign w:val="superscript"/>
          <w:lang w:eastAsia="ko-KR"/>
        </w:rPr>
        <w:footnoteRef/>
      </w:r>
      <w:r w:rsidRPr="00165DB9">
        <w:rPr>
          <w:rFonts w:asciiTheme="minorEastAsia" w:eastAsiaTheme="minorEastAsia" w:hAnsiTheme="minorEastAsia"/>
          <w:sz w:val="16"/>
          <w:szCs w:val="16"/>
          <w:lang w:eastAsia="ko-KR"/>
        </w:rPr>
        <w:t xml:space="preserve"> </w:t>
      </w:r>
      <w:r w:rsidRPr="00165DB9">
        <w:rPr>
          <w:rFonts w:asciiTheme="minorEastAsia" w:eastAsiaTheme="minorEastAsia" w:hAnsiTheme="minorEastAsia" w:hint="eastAsia"/>
          <w:sz w:val="16"/>
          <w:szCs w:val="16"/>
          <w:lang w:eastAsia="ko-KR"/>
        </w:rPr>
        <w:t>제안된 라벨링 값은 결정된 SPF 결과가 15~29.9인 제품의 경우 5 단위(즉, SPF 15, SPF 20, SPF 25)로 표시하지만, 결정된 SPF 결과가 30 이상인 제품의 경우 10 단위(즉, SPF 30, SPF 40, SPF 50, 제안된 최대값은 SPF 60+)로 표시한다.</w:t>
      </w:r>
    </w:p>
  </w:footnote>
  <w:footnote w:id="68">
    <w:p w14:paraId="3DEAD9E9" w14:textId="2AFBF05F" w:rsidR="00547BAE" w:rsidRPr="00441C27" w:rsidRDefault="00547BAE" w:rsidP="00441C27">
      <w:pPr>
        <w:pStyle w:val="a6"/>
        <w:spacing w:line="264" w:lineRule="auto"/>
        <w:jc w:val="both"/>
        <w:rPr>
          <w:rFonts w:asciiTheme="minorEastAsia" w:eastAsiaTheme="minorEastAsia" w:hAnsiTheme="minorEastAsia"/>
          <w:sz w:val="16"/>
          <w:szCs w:val="16"/>
          <w:lang w:eastAsia="ko-KR"/>
        </w:rPr>
      </w:pPr>
      <w:r w:rsidRPr="00441C27">
        <w:rPr>
          <w:rFonts w:asciiTheme="minorEastAsia" w:eastAsiaTheme="minorEastAsia" w:hAnsiTheme="minorEastAsia"/>
          <w:sz w:val="16"/>
          <w:szCs w:val="16"/>
          <w:vertAlign w:val="superscript"/>
          <w:lang w:eastAsia="ko-KR"/>
        </w:rPr>
        <w:footnoteRef/>
      </w:r>
      <w:r w:rsidRPr="00441C27">
        <w:rPr>
          <w:rFonts w:asciiTheme="minorEastAsia" w:eastAsiaTheme="minorEastAsia" w:hAnsiTheme="minorEastAsia"/>
          <w:sz w:val="16"/>
          <w:szCs w:val="16"/>
          <w:lang w:eastAsia="ko-KR"/>
        </w:rPr>
        <w:t xml:space="preserve"> </w:t>
      </w:r>
      <w:r w:rsidRPr="00441C27">
        <w:rPr>
          <w:rFonts w:asciiTheme="minorEastAsia" w:eastAsiaTheme="minorEastAsia" w:hAnsiTheme="minorEastAsia" w:hint="eastAsia"/>
          <w:sz w:val="16"/>
          <w:szCs w:val="16"/>
          <w:lang w:eastAsia="ko-KR"/>
        </w:rPr>
        <w:t>연방규정 제21편 제330부의 특정 부분이 FD&amp;C법의 제505G조 제정으로 인해 영향을 받았으며, (규정의 특정 부분을 철회하고 이에 상응하는 기술적 변경을 하는) 적절한 규제 변경이 예정되어 있다. FD&amp;C법 제505G(k)(3)조 참조.</w:t>
      </w:r>
    </w:p>
  </w:footnote>
  <w:footnote w:id="69">
    <w:p w14:paraId="1DAD78BC" w14:textId="16839994" w:rsidR="00547BAE" w:rsidRPr="00E00EEF" w:rsidRDefault="00547BAE" w:rsidP="00E00EEF">
      <w:pPr>
        <w:pStyle w:val="a6"/>
        <w:spacing w:line="264" w:lineRule="auto"/>
        <w:jc w:val="both"/>
        <w:rPr>
          <w:rFonts w:eastAsiaTheme="minorEastAsia"/>
          <w:lang w:eastAsia="ko-KR"/>
        </w:rPr>
      </w:pPr>
      <w:r w:rsidRPr="00E00EEF">
        <w:rPr>
          <w:rStyle w:val="a7"/>
          <w:rFonts w:asciiTheme="minorEastAsia" w:eastAsiaTheme="minorEastAsia" w:hAnsiTheme="minorEastAsia"/>
          <w:sz w:val="16"/>
          <w:szCs w:val="16"/>
        </w:rPr>
        <w:footnoteRef/>
      </w:r>
      <w:r w:rsidRPr="00E00EEF">
        <w:rPr>
          <w:rFonts w:asciiTheme="minorEastAsia" w:eastAsiaTheme="minorEastAsia" w:hAnsiTheme="minorEastAsia"/>
          <w:sz w:val="16"/>
          <w:szCs w:val="16"/>
          <w:lang w:eastAsia="ko-KR"/>
        </w:rPr>
        <w:t xml:space="preserve"> </w:t>
      </w:r>
      <w:r w:rsidRPr="00E00EEF">
        <w:rPr>
          <w:rFonts w:asciiTheme="minorEastAsia" w:eastAsiaTheme="minorEastAsia" w:hAnsiTheme="minorEastAsia" w:hint="eastAsia"/>
          <w:sz w:val="16"/>
          <w:szCs w:val="16"/>
          <w:lang w:eastAsia="ko-KR"/>
        </w:rPr>
        <w:t xml:space="preserve">일부 방충제는 FDA에 의해 인체의약품(예: 인간의 기생충을 제어하기 위한 살슬제 및 옴약) 또는 동물용의약품(예: 동물 경구 투여용 살충제)으로 규제한다(미국법전 제7편 제136조 이하 참조). 또한 "환경보호청 및 미국 보건교육복지부, 식품의약국 간 양해각서 MOU 225-73-8010" 참조 (다음 사이트에서 확인할 수 있음. </w:t>
      </w:r>
      <w:r>
        <w:rPr>
          <w:rFonts w:asciiTheme="minorEastAsia" w:eastAsiaTheme="minorEastAsia" w:hAnsiTheme="minorEastAsia"/>
          <w:sz w:val="16"/>
          <w:szCs w:val="16"/>
          <w:lang w:eastAsia="ko-KR"/>
        </w:rPr>
        <w:br/>
      </w:r>
      <w:hyperlink r:id="rId8" w:history="1">
        <w:r w:rsidRPr="00063EFB">
          <w:rPr>
            <w:rStyle w:val="aa"/>
            <w:rFonts w:asciiTheme="minorEastAsia" w:eastAsiaTheme="minorEastAsia" w:hAnsiTheme="minorEastAsia" w:hint="eastAsia"/>
            <w:spacing w:val="-2"/>
            <w:sz w:val="16"/>
            <w:szCs w:val="16"/>
            <w:lang w:eastAsia="ko-KR"/>
          </w:rPr>
          <w:t>https://www.fda.gov/aboutfda/partnershipscollaborations/memorandaofunderstandingmous/domesticmous/ucm1158</w:t>
        </w:r>
      </w:hyperlink>
      <w:hyperlink r:id="rId9">
        <w:r w:rsidRPr="00E00EEF">
          <w:rPr>
            <w:rFonts w:asciiTheme="minorEastAsia" w:eastAsiaTheme="minorEastAsia" w:hAnsiTheme="minorEastAsia" w:hint="eastAsia"/>
            <w:color w:val="0000FF"/>
            <w:sz w:val="16"/>
            <w:szCs w:val="16"/>
            <w:u w:val="single" w:color="0000FF"/>
            <w:lang w:eastAsia="ko-KR"/>
          </w:rPr>
          <w:t>73.htm</w:t>
        </w:r>
      </w:hyperlink>
      <w:r w:rsidRPr="00E00EEF">
        <w:rPr>
          <w:rFonts w:asciiTheme="minorEastAsia" w:eastAsiaTheme="minorEastAsia" w:hAnsiTheme="minorEastAsia" w:hint="eastAsia"/>
          <w:color w:val="0000FF"/>
          <w:spacing w:val="-5"/>
          <w:sz w:val="16"/>
          <w:szCs w:val="16"/>
          <w:lang w:eastAsia="ko-KR"/>
        </w:rPr>
        <w:t xml:space="preserve"> </w:t>
      </w:r>
      <w:r w:rsidRPr="00E00EEF">
        <w:rPr>
          <w:rFonts w:asciiTheme="minorEastAsia" w:eastAsiaTheme="minorEastAsia" w:hAnsiTheme="minorEastAsia" w:hint="eastAsia"/>
          <w:sz w:val="16"/>
          <w:szCs w:val="16"/>
          <w:lang w:eastAsia="ko-KR"/>
        </w:rPr>
        <w:t>(2021년 5월 21일 접속</w:t>
      </w:r>
      <w:r w:rsidRPr="00E00EEF">
        <w:rPr>
          <w:rFonts w:asciiTheme="minorEastAsia" w:eastAsiaTheme="minorEastAsia" w:hAnsiTheme="minorEastAsia" w:hint="eastAsia"/>
          <w:spacing w:val="-2"/>
          <w:sz w:val="16"/>
          <w:szCs w:val="16"/>
          <w:lang w:eastAsia="ko-KR"/>
        </w:rPr>
        <w:t>).</w:t>
      </w:r>
    </w:p>
  </w:footnote>
  <w:footnote w:id="70">
    <w:p w14:paraId="79D0F537" w14:textId="3A739238" w:rsidR="00547BAE" w:rsidRPr="008E4E2D" w:rsidRDefault="00547BAE" w:rsidP="008E4E2D">
      <w:pPr>
        <w:pStyle w:val="a6"/>
        <w:spacing w:line="264" w:lineRule="auto"/>
        <w:jc w:val="both"/>
        <w:rPr>
          <w:rFonts w:eastAsiaTheme="minorEastAsia"/>
          <w:lang w:eastAsia="ko-KR"/>
        </w:rPr>
      </w:pPr>
      <w:r w:rsidRPr="008E4E2D">
        <w:rPr>
          <w:rFonts w:asciiTheme="minorEastAsia" w:eastAsiaTheme="minorEastAsia" w:hAnsiTheme="minorEastAsia"/>
          <w:sz w:val="16"/>
          <w:szCs w:val="16"/>
          <w:vertAlign w:val="superscript"/>
          <w:lang w:eastAsia="ko-KR"/>
        </w:rPr>
        <w:footnoteRef/>
      </w:r>
      <w:r w:rsidRPr="008E4E2D">
        <w:rPr>
          <w:rFonts w:asciiTheme="minorEastAsia" w:eastAsiaTheme="minorEastAsia" w:hAnsiTheme="minorEastAsia"/>
          <w:sz w:val="16"/>
          <w:szCs w:val="16"/>
          <w:vertAlign w:val="superscript"/>
          <w:lang w:eastAsia="ko-KR"/>
        </w:rPr>
        <w:t xml:space="preserve"> </w:t>
      </w:r>
      <w:r w:rsidRPr="008E4E2D">
        <w:rPr>
          <w:rFonts w:asciiTheme="minorEastAsia" w:eastAsiaTheme="minorEastAsia" w:hAnsiTheme="minorEastAsia" w:hint="eastAsia"/>
          <w:sz w:val="16"/>
          <w:szCs w:val="16"/>
          <w:lang w:eastAsia="ko-KR"/>
        </w:rPr>
        <w:t>데이터</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요청이</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고시된</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후</w:t>
      </w:r>
      <w:r w:rsidRPr="008E4E2D">
        <w:rPr>
          <w:rFonts w:asciiTheme="minorEastAsia" w:eastAsiaTheme="minorEastAsia" w:hAnsiTheme="minorEastAsia"/>
          <w:sz w:val="16"/>
          <w:szCs w:val="16"/>
          <w:lang w:eastAsia="ko-KR"/>
        </w:rPr>
        <w:t xml:space="preserve"> FDA</w:t>
      </w:r>
      <w:r w:rsidRPr="008E4E2D">
        <w:rPr>
          <w:rFonts w:asciiTheme="minorEastAsia" w:eastAsiaTheme="minorEastAsia" w:hAnsiTheme="minorEastAsia" w:hint="eastAsia"/>
          <w:sz w:val="16"/>
          <w:szCs w:val="16"/>
          <w:lang w:eastAsia="ko-KR"/>
        </w:rPr>
        <w:t>는</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승인된</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신청</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없이</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시판된</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특정</w:t>
      </w:r>
      <w:r w:rsidRPr="008E4E2D">
        <w:rPr>
          <w:rFonts w:asciiTheme="minorEastAsia" w:eastAsiaTheme="minorEastAsia" w:hAnsiTheme="minorEastAsia"/>
          <w:sz w:val="16"/>
          <w:szCs w:val="16"/>
          <w:lang w:eastAsia="ko-KR"/>
        </w:rPr>
        <w:t xml:space="preserve"> OTC </w:t>
      </w:r>
      <w:r w:rsidRPr="008E4E2D">
        <w:rPr>
          <w:rFonts w:asciiTheme="minorEastAsia" w:eastAsiaTheme="minorEastAsia" w:hAnsiTheme="minorEastAsia" w:hint="eastAsia"/>
          <w:sz w:val="16"/>
          <w:szCs w:val="16"/>
          <w:lang w:eastAsia="ko-KR"/>
        </w:rPr>
        <w:t>자외선차단제에</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대한</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추가</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라벨링</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규정을</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마련했다</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그러나</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데이터</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요청에</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제시된</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라벨링</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요구사항은</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여전히</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관련이</w:t>
      </w:r>
      <w:r w:rsidRPr="008E4E2D">
        <w:rPr>
          <w:rFonts w:asciiTheme="minorEastAsia" w:eastAsiaTheme="minorEastAsia" w:hAnsiTheme="minorEastAsia"/>
          <w:sz w:val="16"/>
          <w:szCs w:val="16"/>
          <w:lang w:eastAsia="ko-KR"/>
        </w:rPr>
        <w:t xml:space="preserve"> </w:t>
      </w:r>
      <w:r w:rsidRPr="008E4E2D">
        <w:rPr>
          <w:rFonts w:asciiTheme="minorEastAsia" w:eastAsiaTheme="minorEastAsia" w:hAnsiTheme="minorEastAsia" w:hint="eastAsia"/>
          <w:sz w:val="16"/>
          <w:szCs w:val="16"/>
          <w:lang w:eastAsia="ko-KR"/>
        </w:rPr>
        <w:t>있다</w:t>
      </w:r>
      <w:r w:rsidRPr="008E4E2D">
        <w:rPr>
          <w:rFonts w:asciiTheme="minorEastAsia" w:eastAsiaTheme="minorEastAsia" w:hAnsiTheme="minorEastAsia"/>
          <w:sz w:val="16"/>
          <w:szCs w:val="16"/>
          <w:lang w:eastAsia="ko-KR"/>
        </w:rPr>
        <w:t>.</w:t>
      </w:r>
    </w:p>
  </w:footnote>
  <w:footnote w:id="71">
    <w:p w14:paraId="0F48CDD9" w14:textId="7735D756" w:rsidR="00547BAE" w:rsidRPr="00D00195" w:rsidRDefault="00547BAE" w:rsidP="00D00195">
      <w:pPr>
        <w:pStyle w:val="a6"/>
        <w:jc w:val="both"/>
        <w:rPr>
          <w:rFonts w:asciiTheme="minorEastAsia" w:eastAsiaTheme="minorEastAsia" w:hAnsiTheme="minorEastAsia"/>
          <w:sz w:val="16"/>
          <w:szCs w:val="16"/>
          <w:lang w:eastAsia="ko-KR"/>
        </w:rPr>
      </w:pPr>
      <w:r w:rsidRPr="00D00195">
        <w:rPr>
          <w:rStyle w:val="a7"/>
          <w:rFonts w:asciiTheme="minorEastAsia" w:eastAsiaTheme="minorEastAsia" w:hAnsiTheme="minorEastAsia"/>
          <w:sz w:val="16"/>
          <w:szCs w:val="16"/>
        </w:rPr>
        <w:footnoteRef/>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아래에서</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논의된</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관련</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라벨링</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조항의</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내용은</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최종간주명령</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및</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이</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명령안</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간에</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변경된</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사항은</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없지만</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w:t>
      </w:r>
      <w:r w:rsidRPr="00D00195">
        <w:rPr>
          <w:rFonts w:asciiTheme="minorEastAsia" w:eastAsiaTheme="minorEastAsia" w:hAnsiTheme="minorEastAsia"/>
          <w:sz w:val="16"/>
          <w:szCs w:val="16"/>
          <w:lang w:eastAsia="ko-KR"/>
        </w:rPr>
        <w:t xml:space="preserve"> M020</w:t>
      </w:r>
      <w:r w:rsidRPr="00D00195">
        <w:rPr>
          <w:rFonts w:asciiTheme="minorEastAsia" w:eastAsiaTheme="minorEastAsia" w:hAnsiTheme="minorEastAsia" w:hint="eastAsia"/>
          <w:sz w:val="16"/>
          <w:szCs w:val="16"/>
          <w:lang w:eastAsia="ko-KR"/>
        </w:rPr>
        <w:t>의</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일부</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조항은</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다시</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번호가</w:t>
      </w:r>
      <w:r w:rsidRPr="00D00195">
        <w:rPr>
          <w:rFonts w:asciiTheme="minorEastAsia" w:eastAsiaTheme="minorEastAsia" w:hAnsiTheme="minorEastAsia"/>
          <w:sz w:val="16"/>
          <w:szCs w:val="16"/>
          <w:lang w:eastAsia="ko-KR"/>
        </w:rPr>
        <w:t xml:space="preserve"> </w:t>
      </w:r>
      <w:r w:rsidRPr="00D00195">
        <w:rPr>
          <w:rFonts w:asciiTheme="minorEastAsia" w:eastAsiaTheme="minorEastAsia" w:hAnsiTheme="minorEastAsia" w:hint="eastAsia"/>
          <w:sz w:val="16"/>
          <w:szCs w:val="16"/>
          <w:lang w:eastAsia="ko-KR"/>
        </w:rPr>
        <w:t>매겨졌다</w:t>
      </w:r>
      <w:r w:rsidRPr="00D00195">
        <w:rPr>
          <w:rFonts w:asciiTheme="minorEastAsia" w:eastAsiaTheme="minorEastAsia" w:hAnsiTheme="minorEastAsia"/>
          <w:sz w:val="16"/>
          <w:szCs w:val="16"/>
          <w:lang w:eastAsia="ko-KR"/>
        </w:rPr>
        <w:t>.</w:t>
      </w:r>
    </w:p>
  </w:footnote>
  <w:footnote w:id="72">
    <w:p w14:paraId="794A859A" w14:textId="2B842D6F" w:rsidR="00547BAE" w:rsidRPr="008C7286" w:rsidRDefault="00547BAE" w:rsidP="008C7286">
      <w:pPr>
        <w:pStyle w:val="a6"/>
        <w:ind w:left="283" w:hangingChars="177" w:hanging="283"/>
        <w:jc w:val="both"/>
        <w:rPr>
          <w:rFonts w:asciiTheme="majorEastAsia" w:eastAsiaTheme="majorEastAsia" w:hAnsiTheme="majorEastAsia"/>
          <w:sz w:val="16"/>
          <w:szCs w:val="16"/>
          <w:lang w:eastAsia="ko-KR"/>
        </w:rPr>
      </w:pPr>
      <w:r w:rsidRPr="008C7286">
        <w:rPr>
          <w:rStyle w:val="a7"/>
          <w:rFonts w:asciiTheme="majorEastAsia" w:eastAsiaTheme="majorEastAsia" w:hAnsiTheme="majorEastAsia"/>
          <w:sz w:val="16"/>
          <w:szCs w:val="16"/>
        </w:rPr>
        <w:footnoteRef/>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비모노그래프</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조건은</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해당</w:t>
      </w:r>
      <w:r w:rsidRPr="008C7286">
        <w:rPr>
          <w:rFonts w:asciiTheme="majorEastAsia" w:eastAsiaTheme="majorEastAsia" w:hAnsiTheme="majorEastAsia"/>
          <w:sz w:val="16"/>
          <w:szCs w:val="16"/>
          <w:lang w:eastAsia="ko-KR"/>
        </w:rPr>
        <w:t xml:space="preserve"> OTC </w:t>
      </w:r>
      <w:r w:rsidRPr="008C7286">
        <w:rPr>
          <w:rFonts w:asciiTheme="majorEastAsia" w:eastAsiaTheme="majorEastAsia" w:hAnsiTheme="majorEastAsia" w:hint="eastAsia"/>
          <w:sz w:val="16"/>
          <w:szCs w:val="16"/>
          <w:lang w:eastAsia="ko-KR"/>
        </w:rPr>
        <w:t>의약품을</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신약으로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만드는</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비포괄적</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특성</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목록을</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식별한다</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따라서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w:t>
      </w:r>
      <w:r w:rsidRPr="008C7286">
        <w:rPr>
          <w:rFonts w:asciiTheme="majorEastAsia" w:eastAsiaTheme="majorEastAsia" w:hAnsiTheme="majorEastAsia"/>
          <w:sz w:val="16"/>
          <w:szCs w:val="16"/>
          <w:lang w:eastAsia="ko-KR"/>
        </w:rPr>
        <w:t xml:space="preserve"> NM020</w:t>
      </w:r>
      <w:r w:rsidRPr="008C7286">
        <w:rPr>
          <w:rFonts w:asciiTheme="majorEastAsia" w:eastAsiaTheme="majorEastAsia" w:hAnsiTheme="majorEastAsia" w:hint="eastAsia"/>
          <w:sz w:val="16"/>
          <w:szCs w:val="16"/>
          <w:lang w:eastAsia="ko-KR"/>
        </w:rPr>
        <w:t>의</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조항은</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자외선차단제로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사용하기</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위해</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제공된</w:t>
      </w:r>
      <w:r w:rsidRPr="008C7286">
        <w:rPr>
          <w:rFonts w:asciiTheme="majorEastAsia" w:eastAsiaTheme="majorEastAsia" w:hAnsiTheme="majorEastAsia"/>
          <w:sz w:val="16"/>
          <w:szCs w:val="16"/>
          <w:lang w:eastAsia="ko-KR"/>
        </w:rPr>
        <w:t xml:space="preserve"> OTC </w:t>
      </w:r>
      <w:r w:rsidRPr="008C7286">
        <w:rPr>
          <w:rFonts w:asciiTheme="majorEastAsia" w:eastAsiaTheme="majorEastAsia" w:hAnsiTheme="majorEastAsia" w:hint="eastAsia"/>
          <w:sz w:val="16"/>
          <w:szCs w:val="16"/>
          <w:lang w:eastAsia="ko-KR"/>
        </w:rPr>
        <w:t>의약품을</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신약으로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만드는</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모든</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특성의</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포괄적인</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목록으로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간주해서는</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안</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된다</w:t>
      </w:r>
      <w:r w:rsidRPr="008C7286">
        <w:rPr>
          <w:rFonts w:asciiTheme="majorEastAsia" w:eastAsiaTheme="majorEastAsia" w:hAnsiTheme="majorEastAsia"/>
          <w:sz w:val="16"/>
          <w:szCs w:val="16"/>
          <w:lang w:eastAsia="ko-KR"/>
        </w:rPr>
        <w:t>.</w:t>
      </w:r>
    </w:p>
  </w:footnote>
  <w:footnote w:id="73">
    <w:p w14:paraId="0C9CFA52" w14:textId="28520417" w:rsidR="00547BAE" w:rsidRPr="008C7286" w:rsidRDefault="00547BAE" w:rsidP="008C7286">
      <w:pPr>
        <w:pStyle w:val="a6"/>
        <w:ind w:left="283" w:hangingChars="177" w:hanging="283"/>
        <w:jc w:val="both"/>
        <w:rPr>
          <w:rFonts w:eastAsiaTheme="minorEastAsia"/>
          <w:lang w:eastAsia="ko-KR"/>
        </w:rPr>
      </w:pPr>
      <w:r w:rsidRPr="008C7286">
        <w:rPr>
          <w:rStyle w:val="a7"/>
          <w:rFonts w:asciiTheme="majorEastAsia" w:eastAsiaTheme="majorEastAsia" w:hAnsiTheme="majorEastAsia"/>
          <w:sz w:val="16"/>
          <w:szCs w:val="16"/>
        </w:rPr>
        <w:footnoteRef/>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비모노그래프</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조건</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w:t>
      </w:r>
      <w:r w:rsidRPr="008C7286">
        <w:rPr>
          <w:rFonts w:asciiTheme="majorEastAsia" w:eastAsiaTheme="majorEastAsia" w:hAnsiTheme="majorEastAsia"/>
          <w:sz w:val="16"/>
          <w:szCs w:val="16"/>
          <w:lang w:eastAsia="ko-KR"/>
        </w:rPr>
        <w:t xml:space="preserve"> NM900, </w:t>
      </w:r>
      <w:r w:rsidRPr="008C7286">
        <w:rPr>
          <w:rFonts w:asciiTheme="majorEastAsia" w:eastAsiaTheme="majorEastAsia" w:hAnsiTheme="majorEastAsia" w:hint="eastAsia"/>
          <w:sz w:val="16"/>
          <w:szCs w:val="16"/>
          <w:lang w:eastAsia="ko-KR"/>
        </w:rPr>
        <w:t>특정</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용도를</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위해</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일반의약품으로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제공된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특성</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활성성분을</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함유한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의약품은</w:t>
      </w:r>
      <w:r w:rsidRPr="008C7286">
        <w:rPr>
          <w:rFonts w:asciiTheme="majorEastAsia" w:eastAsiaTheme="majorEastAsia" w:hAnsiTheme="majorEastAsia"/>
          <w:sz w:val="16"/>
          <w:szCs w:val="16"/>
          <w:lang w:eastAsia="ko-KR"/>
        </w:rPr>
        <w:t xml:space="preserve"> 2020</w:t>
      </w:r>
      <w:r w:rsidRPr="008C7286">
        <w:rPr>
          <w:rFonts w:asciiTheme="majorEastAsia" w:eastAsiaTheme="majorEastAsia" w:hAnsiTheme="majorEastAsia" w:hint="eastAsia"/>
          <w:sz w:val="16"/>
          <w:szCs w:val="16"/>
          <w:lang w:eastAsia="ko-KR"/>
        </w:rPr>
        <w:t>년</w:t>
      </w:r>
      <w:r w:rsidRPr="008C7286">
        <w:rPr>
          <w:rFonts w:asciiTheme="majorEastAsia" w:eastAsiaTheme="majorEastAsia" w:hAnsiTheme="majorEastAsia"/>
          <w:sz w:val="16"/>
          <w:szCs w:val="16"/>
          <w:lang w:eastAsia="ko-KR"/>
        </w:rPr>
        <w:t xml:space="preserve"> 3</w:t>
      </w:r>
      <w:r w:rsidRPr="008C7286">
        <w:rPr>
          <w:rFonts w:asciiTheme="majorEastAsia" w:eastAsiaTheme="majorEastAsia" w:hAnsiTheme="majorEastAsia" w:hint="eastAsia"/>
          <w:sz w:val="16"/>
          <w:szCs w:val="16"/>
          <w:lang w:eastAsia="ko-KR"/>
        </w:rPr>
        <w:t>월</w:t>
      </w:r>
      <w:r w:rsidRPr="008C7286">
        <w:rPr>
          <w:rFonts w:asciiTheme="majorEastAsia" w:eastAsiaTheme="majorEastAsia" w:hAnsiTheme="majorEastAsia"/>
          <w:sz w:val="16"/>
          <w:szCs w:val="16"/>
          <w:lang w:eastAsia="ko-KR"/>
        </w:rPr>
        <w:t xml:space="preserve"> 26</w:t>
      </w:r>
      <w:r w:rsidRPr="008C7286">
        <w:rPr>
          <w:rFonts w:asciiTheme="majorEastAsia" w:eastAsiaTheme="majorEastAsia" w:hAnsiTheme="majorEastAsia" w:hint="eastAsia"/>
          <w:sz w:val="16"/>
          <w:szCs w:val="16"/>
          <w:lang w:eastAsia="ko-KR"/>
        </w:rPr>
        <w:t>일</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발효된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연방규정</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제</w:t>
      </w:r>
      <w:r w:rsidRPr="008C7286">
        <w:rPr>
          <w:rFonts w:asciiTheme="majorEastAsia" w:eastAsiaTheme="majorEastAsia" w:hAnsiTheme="majorEastAsia"/>
          <w:sz w:val="16"/>
          <w:szCs w:val="16"/>
          <w:lang w:eastAsia="ko-KR"/>
        </w:rPr>
        <w:t>21</w:t>
      </w:r>
      <w:r w:rsidRPr="008C7286">
        <w:rPr>
          <w:rFonts w:asciiTheme="majorEastAsia" w:eastAsiaTheme="majorEastAsia" w:hAnsiTheme="majorEastAsia" w:hint="eastAsia"/>
          <w:sz w:val="16"/>
          <w:szCs w:val="16"/>
          <w:lang w:eastAsia="ko-KR"/>
        </w:rPr>
        <w:t>편</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제</w:t>
      </w:r>
      <w:r w:rsidRPr="008C7286">
        <w:rPr>
          <w:rFonts w:asciiTheme="majorEastAsia" w:eastAsiaTheme="majorEastAsia" w:hAnsiTheme="majorEastAsia"/>
          <w:sz w:val="16"/>
          <w:szCs w:val="16"/>
          <w:lang w:eastAsia="ko-KR"/>
        </w:rPr>
        <w:t>310.545</w:t>
      </w:r>
      <w:r w:rsidRPr="008C7286">
        <w:rPr>
          <w:rFonts w:asciiTheme="majorEastAsia" w:eastAsiaTheme="majorEastAsia" w:hAnsiTheme="majorEastAsia" w:hint="eastAsia"/>
          <w:sz w:val="16"/>
          <w:szCs w:val="16"/>
          <w:lang w:eastAsia="ko-KR"/>
        </w:rPr>
        <w:t>조를</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포함했으며</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이는</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제정</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당시</w:t>
      </w:r>
      <w:r w:rsidRPr="008C7286">
        <w:rPr>
          <w:rFonts w:asciiTheme="majorEastAsia" w:eastAsiaTheme="majorEastAsia" w:hAnsiTheme="majorEastAsia"/>
          <w:sz w:val="16"/>
          <w:szCs w:val="16"/>
          <w:lang w:eastAsia="ko-KR"/>
        </w:rPr>
        <w:t xml:space="preserve"> FD&amp;C</w:t>
      </w:r>
      <w:r w:rsidRPr="008C7286">
        <w:rPr>
          <w:rFonts w:asciiTheme="majorEastAsia" w:eastAsiaTheme="majorEastAsia" w:hAnsiTheme="majorEastAsia" w:hint="eastAsia"/>
          <w:sz w:val="16"/>
          <w:szCs w:val="16"/>
          <w:lang w:eastAsia="ko-KR"/>
        </w:rPr>
        <w:t>법</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제</w:t>
      </w:r>
      <w:r w:rsidRPr="008C7286">
        <w:rPr>
          <w:rFonts w:asciiTheme="majorEastAsia" w:eastAsiaTheme="majorEastAsia" w:hAnsiTheme="majorEastAsia"/>
          <w:sz w:val="16"/>
          <w:szCs w:val="16"/>
          <w:lang w:eastAsia="ko-KR"/>
        </w:rPr>
        <w:t>505G(k)(2)(A)</w:t>
      </w:r>
      <w:r w:rsidRPr="008C7286">
        <w:rPr>
          <w:rFonts w:asciiTheme="majorEastAsia" w:eastAsiaTheme="majorEastAsia" w:hAnsiTheme="majorEastAsia" w:hint="eastAsia"/>
          <w:sz w:val="16"/>
          <w:szCs w:val="16"/>
          <w:lang w:eastAsia="ko-KR"/>
        </w:rPr>
        <w:t>조에</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의해</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최종</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행정명령으로</w:t>
      </w:r>
      <w:r w:rsidRPr="008C7286">
        <w:rPr>
          <w:rFonts w:asciiTheme="majorEastAsia" w:eastAsiaTheme="majorEastAsia" w:hAnsiTheme="majorEastAsia"/>
          <w:sz w:val="16"/>
          <w:szCs w:val="16"/>
          <w:lang w:eastAsia="ko-KR"/>
        </w:rPr>
        <w:t xml:space="preserve"> </w:t>
      </w:r>
      <w:r w:rsidRPr="008C7286">
        <w:rPr>
          <w:rFonts w:asciiTheme="majorEastAsia" w:eastAsiaTheme="majorEastAsia" w:hAnsiTheme="majorEastAsia" w:hint="eastAsia"/>
          <w:sz w:val="16"/>
          <w:szCs w:val="16"/>
          <w:lang w:eastAsia="ko-KR"/>
        </w:rPr>
        <w:t>간주되었다</w:t>
      </w:r>
      <w:r w:rsidRPr="008C7286">
        <w:rPr>
          <w:rFonts w:asciiTheme="majorEastAsia" w:eastAsiaTheme="majorEastAsia" w:hAnsiTheme="majorEastAsia"/>
          <w:sz w:val="16"/>
          <w:szCs w:val="16"/>
          <w:lang w:eastAsia="ko-KR"/>
        </w:rPr>
        <w:t>.</w:t>
      </w:r>
    </w:p>
  </w:footnote>
  <w:footnote w:id="74">
    <w:p w14:paraId="62202FEA" w14:textId="62AD9021" w:rsidR="00547BAE" w:rsidRPr="00402BCD" w:rsidRDefault="00547BAE" w:rsidP="00402BCD">
      <w:pPr>
        <w:pStyle w:val="a6"/>
        <w:jc w:val="both"/>
        <w:rPr>
          <w:rFonts w:asciiTheme="minorEastAsia" w:eastAsiaTheme="minorEastAsia" w:hAnsiTheme="minorEastAsia"/>
          <w:sz w:val="16"/>
          <w:szCs w:val="16"/>
          <w:lang w:eastAsia="ko-KR"/>
        </w:rPr>
      </w:pPr>
      <w:r w:rsidRPr="00402BCD">
        <w:rPr>
          <w:rStyle w:val="a7"/>
          <w:rFonts w:asciiTheme="minorEastAsia" w:eastAsiaTheme="minorEastAsia" w:hAnsiTheme="minorEastAsia"/>
          <w:sz w:val="16"/>
          <w:szCs w:val="16"/>
        </w:rPr>
        <w:footnoteRef/>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글머리</w:t>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기호의</w:t>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정의는</w:t>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연방규정</w:t>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제</w:t>
      </w:r>
      <w:r w:rsidRPr="00402BCD">
        <w:rPr>
          <w:rFonts w:asciiTheme="minorEastAsia" w:eastAsiaTheme="minorEastAsia" w:hAnsiTheme="minorEastAsia"/>
          <w:sz w:val="16"/>
          <w:szCs w:val="16"/>
          <w:lang w:eastAsia="ko-KR"/>
        </w:rPr>
        <w:t>21</w:t>
      </w:r>
      <w:r w:rsidRPr="00402BCD">
        <w:rPr>
          <w:rFonts w:asciiTheme="minorEastAsia" w:eastAsiaTheme="minorEastAsia" w:hAnsiTheme="minorEastAsia" w:hint="eastAsia"/>
          <w:sz w:val="16"/>
          <w:szCs w:val="16"/>
          <w:lang w:eastAsia="ko-KR"/>
        </w:rPr>
        <w:t>편</w:t>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제</w:t>
      </w:r>
      <w:r w:rsidRPr="00402BCD">
        <w:rPr>
          <w:rFonts w:asciiTheme="minorEastAsia" w:eastAsiaTheme="minorEastAsia" w:hAnsiTheme="minorEastAsia"/>
          <w:sz w:val="16"/>
          <w:szCs w:val="16"/>
          <w:lang w:eastAsia="ko-KR"/>
        </w:rPr>
        <w:t>201.66(b)(4)</w:t>
      </w:r>
      <w:r w:rsidRPr="00402BCD">
        <w:rPr>
          <w:rFonts w:asciiTheme="minorEastAsia" w:eastAsiaTheme="minorEastAsia" w:hAnsiTheme="minorEastAsia" w:hint="eastAsia"/>
          <w:sz w:val="16"/>
          <w:szCs w:val="16"/>
          <w:lang w:eastAsia="ko-KR"/>
        </w:rPr>
        <w:t>를</w:t>
      </w:r>
      <w:r w:rsidRPr="00402BCD">
        <w:rPr>
          <w:rFonts w:asciiTheme="minorEastAsia" w:eastAsiaTheme="minorEastAsia" w:hAnsiTheme="minorEastAsia"/>
          <w:sz w:val="16"/>
          <w:szCs w:val="16"/>
          <w:lang w:eastAsia="ko-KR"/>
        </w:rPr>
        <w:t xml:space="preserve"> </w:t>
      </w:r>
      <w:r w:rsidRPr="00402BCD">
        <w:rPr>
          <w:rFonts w:asciiTheme="minorEastAsia" w:eastAsiaTheme="minorEastAsia" w:hAnsiTheme="minorEastAsia" w:hint="eastAsia"/>
          <w:sz w:val="16"/>
          <w:szCs w:val="16"/>
          <w:lang w:eastAsia="ko-KR"/>
        </w:rPr>
        <w:t>참조한다</w:t>
      </w:r>
      <w:r w:rsidRPr="00402BCD">
        <w:rPr>
          <w:rFonts w:asciiTheme="minorEastAsia" w:eastAsiaTheme="minorEastAsia" w:hAnsiTheme="minorEastAsia"/>
          <w:sz w:val="16"/>
          <w:szCs w:val="16"/>
          <w:lang w:eastAsia="ko-K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E92B9" w14:textId="05849559" w:rsidR="00547BAE" w:rsidRPr="004F353A" w:rsidRDefault="00547BAE" w:rsidP="004F353A">
    <w:pPr>
      <w:pStyle w:val="a4"/>
    </w:pPr>
    <w:r w:rsidRPr="007B1513">
      <w:rPr>
        <w:rFonts w:eastAsia="KoPub바탕체 Light" w:hint="eastAsia"/>
        <w:noProof/>
        <w:sz w:val="20"/>
        <w:lang w:eastAsia="ko-KR"/>
      </w:rPr>
      <w:drawing>
        <wp:inline distT="0" distB="0" distL="0" distR="0" wp14:anchorId="78C52227" wp14:editId="3DBC3392">
          <wp:extent cx="2442192" cy="493775"/>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442192" cy="4937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2B5FB" w14:textId="666E8227" w:rsidR="00547BAE" w:rsidRPr="00EF791F" w:rsidRDefault="00547BAE" w:rsidP="00EF791F">
    <w:pPr>
      <w:jc w:val="both"/>
      <w:rPr>
        <w:rFonts w:asciiTheme="minorEastAsia" w:eastAsiaTheme="minorEastAsia" w:hAnsiTheme="minorEastAsia"/>
        <w:sz w:val="16"/>
      </w:rPr>
    </w:pPr>
    <w:r>
      <w:rPr>
        <w:rFonts w:asciiTheme="minorEastAsia" w:eastAsiaTheme="minorEastAsia" w:hAnsiTheme="minorEastAsia" w:hint="eastAsia"/>
        <w:sz w:val="16"/>
        <w:lang w:eastAsia="ko-KR"/>
      </w:rPr>
      <w:t xml:space="preserve">명령안 </w:t>
    </w:r>
    <w:r w:rsidRPr="00EF791F">
      <w:rPr>
        <w:rFonts w:asciiTheme="minorEastAsia" w:eastAsiaTheme="minorEastAsia" w:hAnsiTheme="minorEastAsia"/>
        <w:sz w:val="16"/>
      </w:rPr>
      <w:t>OTC000008</w:t>
    </w:r>
  </w:p>
  <w:p w14:paraId="76F0CDBF" w14:textId="1F51226C" w:rsidR="00547BAE" w:rsidRPr="00EF791F" w:rsidRDefault="00547BAE" w:rsidP="00EF791F">
    <w:pPr>
      <w:jc w:val="both"/>
      <w:rPr>
        <w:rFonts w:asciiTheme="minorEastAsia" w:eastAsiaTheme="minorEastAsia" w:hAnsiTheme="minorEastAsia"/>
        <w:sz w:val="16"/>
      </w:rPr>
    </w:pPr>
    <w:r w:rsidRPr="00EF791F">
      <w:rPr>
        <w:rFonts w:asciiTheme="minorEastAsia" w:eastAsiaTheme="minorEastAsia" w:hAnsiTheme="minorEastAsia" w:cs="바탕" w:hint="eastAsia"/>
        <w:sz w:val="16"/>
      </w:rPr>
      <w:t>페이지</w:t>
    </w:r>
    <w:r w:rsidRPr="00EF791F">
      <w:rPr>
        <w:rFonts w:asciiTheme="minorEastAsia" w:eastAsiaTheme="minorEastAsia" w:hAnsiTheme="minorEastAsia"/>
        <w:sz w:val="16"/>
      </w:rPr>
      <w:t xml:space="preserve"> </w:t>
    </w:r>
    <w:r w:rsidRPr="00EF791F">
      <w:rPr>
        <w:rFonts w:asciiTheme="minorEastAsia" w:eastAsiaTheme="minorEastAsia" w:hAnsiTheme="minorEastAsia"/>
        <w:sz w:val="16"/>
      </w:rPr>
      <w:fldChar w:fldCharType="begin"/>
    </w:r>
    <w:r w:rsidRPr="00EF791F">
      <w:rPr>
        <w:rFonts w:asciiTheme="minorEastAsia" w:eastAsiaTheme="minorEastAsia" w:hAnsiTheme="minorEastAsia"/>
        <w:sz w:val="16"/>
      </w:rPr>
      <w:instrText>PAGE   \* MERGEFORMAT</w:instrText>
    </w:r>
    <w:r w:rsidRPr="00EF791F">
      <w:rPr>
        <w:rFonts w:asciiTheme="minorEastAsia" w:eastAsiaTheme="minorEastAsia" w:hAnsiTheme="minorEastAsia"/>
        <w:sz w:val="16"/>
      </w:rPr>
      <w:fldChar w:fldCharType="separate"/>
    </w:r>
    <w:r>
      <w:rPr>
        <w:rFonts w:asciiTheme="minorEastAsia" w:eastAsiaTheme="minorEastAsia" w:hAnsiTheme="minorEastAsia"/>
        <w:noProof/>
        <w:sz w:val="16"/>
      </w:rPr>
      <w:t>152</w:t>
    </w:r>
    <w:r w:rsidRPr="00EF791F">
      <w:rPr>
        <w:rFonts w:asciiTheme="minorEastAsia" w:eastAsiaTheme="minorEastAsia" w:hAnsiTheme="minorEastAsia"/>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640"/>
    <w:multiLevelType w:val="hybridMultilevel"/>
    <w:tmpl w:val="A550629A"/>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417199D"/>
    <w:multiLevelType w:val="hybridMultilevel"/>
    <w:tmpl w:val="6C768A9A"/>
    <w:lvl w:ilvl="0" w:tplc="CD942884">
      <w:start w:val="1"/>
      <w:numFmt w:val="decimal"/>
      <w:lvlText w:val="(%1)"/>
      <w:lvlJc w:val="left"/>
      <w:pPr>
        <w:ind w:left="840" w:hanging="339"/>
      </w:pPr>
      <w:rPr>
        <w:rFonts w:asciiTheme="minorEastAsia" w:eastAsiaTheme="minorEastAsia" w:hAnsiTheme="minorEastAsia" w:cs="Times New Roman" w:hint="default"/>
        <w:b w:val="0"/>
        <w:bCs w:val="0"/>
        <w:i w:val="0"/>
        <w:iCs w:val="0"/>
        <w:spacing w:val="-1"/>
        <w:w w:val="100"/>
        <w:sz w:val="20"/>
        <w:szCs w:val="20"/>
        <w:lang w:val="en-US" w:eastAsia="en-US" w:bidi="ar-SA"/>
      </w:rPr>
    </w:lvl>
    <w:lvl w:ilvl="1" w:tplc="757C72EE">
      <w:numFmt w:val="bullet"/>
      <w:lvlText w:val="•"/>
      <w:lvlJc w:val="left"/>
      <w:pPr>
        <w:ind w:left="1718" w:hanging="339"/>
      </w:pPr>
      <w:rPr>
        <w:lang w:val="en-US" w:eastAsia="en-US" w:bidi="ar-SA"/>
      </w:rPr>
    </w:lvl>
    <w:lvl w:ilvl="2" w:tplc="9B800FC4">
      <w:numFmt w:val="bullet"/>
      <w:lvlText w:val="•"/>
      <w:lvlJc w:val="left"/>
      <w:pPr>
        <w:ind w:left="2596" w:hanging="339"/>
      </w:pPr>
      <w:rPr>
        <w:lang w:val="en-US" w:eastAsia="en-US" w:bidi="ar-SA"/>
      </w:rPr>
    </w:lvl>
    <w:lvl w:ilvl="3" w:tplc="10366052">
      <w:numFmt w:val="bullet"/>
      <w:lvlText w:val="•"/>
      <w:lvlJc w:val="left"/>
      <w:pPr>
        <w:ind w:left="3474" w:hanging="339"/>
      </w:pPr>
      <w:rPr>
        <w:lang w:val="en-US" w:eastAsia="en-US" w:bidi="ar-SA"/>
      </w:rPr>
    </w:lvl>
    <w:lvl w:ilvl="4" w:tplc="AF14393E">
      <w:numFmt w:val="bullet"/>
      <w:lvlText w:val="•"/>
      <w:lvlJc w:val="left"/>
      <w:pPr>
        <w:ind w:left="4352" w:hanging="339"/>
      </w:pPr>
      <w:rPr>
        <w:lang w:val="en-US" w:eastAsia="en-US" w:bidi="ar-SA"/>
      </w:rPr>
    </w:lvl>
    <w:lvl w:ilvl="5" w:tplc="6FF0AFE8">
      <w:numFmt w:val="bullet"/>
      <w:lvlText w:val="•"/>
      <w:lvlJc w:val="left"/>
      <w:pPr>
        <w:ind w:left="5230" w:hanging="339"/>
      </w:pPr>
      <w:rPr>
        <w:lang w:val="en-US" w:eastAsia="en-US" w:bidi="ar-SA"/>
      </w:rPr>
    </w:lvl>
    <w:lvl w:ilvl="6" w:tplc="CDA2672E">
      <w:numFmt w:val="bullet"/>
      <w:lvlText w:val="•"/>
      <w:lvlJc w:val="left"/>
      <w:pPr>
        <w:ind w:left="6108" w:hanging="339"/>
      </w:pPr>
      <w:rPr>
        <w:lang w:val="en-US" w:eastAsia="en-US" w:bidi="ar-SA"/>
      </w:rPr>
    </w:lvl>
    <w:lvl w:ilvl="7" w:tplc="EDC66846">
      <w:numFmt w:val="bullet"/>
      <w:lvlText w:val="•"/>
      <w:lvlJc w:val="left"/>
      <w:pPr>
        <w:ind w:left="6986" w:hanging="339"/>
      </w:pPr>
      <w:rPr>
        <w:lang w:val="en-US" w:eastAsia="en-US" w:bidi="ar-SA"/>
      </w:rPr>
    </w:lvl>
    <w:lvl w:ilvl="8" w:tplc="C53ACD88">
      <w:numFmt w:val="bullet"/>
      <w:lvlText w:val="•"/>
      <w:lvlJc w:val="left"/>
      <w:pPr>
        <w:ind w:left="7864" w:hanging="339"/>
      </w:pPr>
      <w:rPr>
        <w:lang w:val="en-US" w:eastAsia="en-US" w:bidi="ar-SA"/>
      </w:rPr>
    </w:lvl>
  </w:abstractNum>
  <w:abstractNum w:abstractNumId="2" w15:restartNumberingAfterBreak="0">
    <w:nsid w:val="041B3A11"/>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50254E4"/>
    <w:multiLevelType w:val="hybridMultilevel"/>
    <w:tmpl w:val="0E60DC8A"/>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6BE51CD"/>
    <w:multiLevelType w:val="hybridMultilevel"/>
    <w:tmpl w:val="AD0E60BE"/>
    <w:lvl w:ilvl="0" w:tplc="D68C3DAC">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8526AE0"/>
    <w:multiLevelType w:val="hybridMultilevel"/>
    <w:tmpl w:val="E82CA3F4"/>
    <w:lvl w:ilvl="0" w:tplc="5E648F4E">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0ABA2BF7"/>
    <w:multiLevelType w:val="hybridMultilevel"/>
    <w:tmpl w:val="0E60DC8A"/>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0AC0287F"/>
    <w:multiLevelType w:val="hybridMultilevel"/>
    <w:tmpl w:val="5FC219AA"/>
    <w:lvl w:ilvl="0" w:tplc="033EDB9C">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0AD65883"/>
    <w:multiLevelType w:val="hybridMultilevel"/>
    <w:tmpl w:val="8AEAD2CE"/>
    <w:lvl w:ilvl="0" w:tplc="AA82D6D6">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0B450CBB"/>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0BF02918"/>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tentative="1">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11" w15:restartNumberingAfterBreak="0">
    <w:nsid w:val="0BF84946"/>
    <w:multiLevelType w:val="hybridMultilevel"/>
    <w:tmpl w:val="1FC413AE"/>
    <w:lvl w:ilvl="0" w:tplc="0409000F">
      <w:start w:val="1"/>
      <w:numFmt w:val="decimal"/>
      <w:lvlText w:val="%1."/>
      <w:lvlJc w:val="left"/>
      <w:pPr>
        <w:ind w:left="398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0C0E33C8"/>
    <w:multiLevelType w:val="hybridMultilevel"/>
    <w:tmpl w:val="63589666"/>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0C9E310F"/>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tentative="1">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14" w15:restartNumberingAfterBreak="0">
    <w:nsid w:val="0D2D22C7"/>
    <w:multiLevelType w:val="hybridMultilevel"/>
    <w:tmpl w:val="9EE427C2"/>
    <w:lvl w:ilvl="0" w:tplc="CB3E850A">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0D564B58"/>
    <w:multiLevelType w:val="hybridMultilevel"/>
    <w:tmpl w:val="06F43960"/>
    <w:lvl w:ilvl="0" w:tplc="795EA282">
      <w:start w:val="1"/>
      <w:numFmt w:val="decimal"/>
      <w:lvlText w:val="(%1)"/>
      <w:lvlJc w:val="left"/>
      <w:pPr>
        <w:ind w:left="840" w:hanging="339"/>
      </w:pPr>
      <w:rPr>
        <w:rFonts w:asciiTheme="minorEastAsia" w:eastAsiaTheme="minorEastAsia" w:hAnsiTheme="minorEastAsia" w:cs="Times New Roman" w:hint="default"/>
        <w:b w:val="0"/>
        <w:bCs w:val="0"/>
        <w:i w:val="0"/>
        <w:iCs w:val="0"/>
        <w:spacing w:val="-1"/>
        <w:w w:val="100"/>
        <w:sz w:val="20"/>
        <w:szCs w:val="20"/>
        <w:lang w:val="en-US" w:eastAsia="en-US" w:bidi="ar-SA"/>
      </w:rPr>
    </w:lvl>
    <w:lvl w:ilvl="1" w:tplc="4BAC6774">
      <w:numFmt w:val="bullet"/>
      <w:lvlText w:val="•"/>
      <w:lvlJc w:val="left"/>
      <w:pPr>
        <w:ind w:left="1718" w:hanging="339"/>
      </w:pPr>
      <w:rPr>
        <w:lang w:val="en-US" w:eastAsia="en-US" w:bidi="ar-SA"/>
      </w:rPr>
    </w:lvl>
    <w:lvl w:ilvl="2" w:tplc="516C29D2">
      <w:numFmt w:val="bullet"/>
      <w:lvlText w:val="•"/>
      <w:lvlJc w:val="left"/>
      <w:pPr>
        <w:ind w:left="2596" w:hanging="339"/>
      </w:pPr>
      <w:rPr>
        <w:lang w:val="en-US" w:eastAsia="en-US" w:bidi="ar-SA"/>
      </w:rPr>
    </w:lvl>
    <w:lvl w:ilvl="3" w:tplc="DEECBDA4">
      <w:numFmt w:val="bullet"/>
      <w:lvlText w:val="•"/>
      <w:lvlJc w:val="left"/>
      <w:pPr>
        <w:ind w:left="3474" w:hanging="339"/>
      </w:pPr>
      <w:rPr>
        <w:lang w:val="en-US" w:eastAsia="en-US" w:bidi="ar-SA"/>
      </w:rPr>
    </w:lvl>
    <w:lvl w:ilvl="4" w:tplc="B3E4BE8C">
      <w:numFmt w:val="bullet"/>
      <w:lvlText w:val="•"/>
      <w:lvlJc w:val="left"/>
      <w:pPr>
        <w:ind w:left="4352" w:hanging="339"/>
      </w:pPr>
      <w:rPr>
        <w:lang w:val="en-US" w:eastAsia="en-US" w:bidi="ar-SA"/>
      </w:rPr>
    </w:lvl>
    <w:lvl w:ilvl="5" w:tplc="AC70D988">
      <w:numFmt w:val="bullet"/>
      <w:lvlText w:val="•"/>
      <w:lvlJc w:val="left"/>
      <w:pPr>
        <w:ind w:left="5230" w:hanging="339"/>
      </w:pPr>
      <w:rPr>
        <w:lang w:val="en-US" w:eastAsia="en-US" w:bidi="ar-SA"/>
      </w:rPr>
    </w:lvl>
    <w:lvl w:ilvl="6" w:tplc="C7CA3C90">
      <w:numFmt w:val="bullet"/>
      <w:lvlText w:val="•"/>
      <w:lvlJc w:val="left"/>
      <w:pPr>
        <w:ind w:left="6108" w:hanging="339"/>
      </w:pPr>
      <w:rPr>
        <w:lang w:val="en-US" w:eastAsia="en-US" w:bidi="ar-SA"/>
      </w:rPr>
    </w:lvl>
    <w:lvl w:ilvl="7" w:tplc="CA640788">
      <w:numFmt w:val="bullet"/>
      <w:lvlText w:val="•"/>
      <w:lvlJc w:val="left"/>
      <w:pPr>
        <w:ind w:left="6986" w:hanging="339"/>
      </w:pPr>
      <w:rPr>
        <w:lang w:val="en-US" w:eastAsia="en-US" w:bidi="ar-SA"/>
      </w:rPr>
    </w:lvl>
    <w:lvl w:ilvl="8" w:tplc="3D7E60DA">
      <w:numFmt w:val="bullet"/>
      <w:lvlText w:val="•"/>
      <w:lvlJc w:val="left"/>
      <w:pPr>
        <w:ind w:left="7864" w:hanging="339"/>
      </w:pPr>
      <w:rPr>
        <w:lang w:val="en-US" w:eastAsia="en-US" w:bidi="ar-SA"/>
      </w:rPr>
    </w:lvl>
  </w:abstractNum>
  <w:abstractNum w:abstractNumId="16" w15:restartNumberingAfterBreak="0">
    <w:nsid w:val="11243CE4"/>
    <w:multiLevelType w:val="hybridMultilevel"/>
    <w:tmpl w:val="7EE24746"/>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1295089C"/>
    <w:multiLevelType w:val="hybridMultilevel"/>
    <w:tmpl w:val="2AE0559E"/>
    <w:lvl w:ilvl="0" w:tplc="272AD9D8">
      <w:start w:val="1"/>
      <w:numFmt w:val="decimal"/>
      <w:lvlText w:val="(%1)"/>
      <w:lvlJc w:val="left"/>
      <w:pPr>
        <w:ind w:left="1639" w:hanging="400"/>
      </w:pPr>
      <w:rPr>
        <w:rFonts w:asciiTheme="minorEastAsia" w:eastAsiaTheme="minorEastAsia" w:hAnsiTheme="minorEastAsia" w:cs="Gill Sans MT" w:hint="default"/>
        <w:b w:val="0"/>
        <w:bCs w:val="0"/>
        <w:i w:val="0"/>
        <w:iCs w:val="0"/>
        <w:w w:val="100"/>
        <w:sz w:val="20"/>
        <w:szCs w:val="21"/>
      </w:rPr>
    </w:lvl>
    <w:lvl w:ilvl="1" w:tplc="04090019" w:tentative="1">
      <w:start w:val="1"/>
      <w:numFmt w:val="upperLetter"/>
      <w:lvlText w:val="%2."/>
      <w:lvlJc w:val="left"/>
      <w:pPr>
        <w:ind w:left="2039" w:hanging="400"/>
      </w:pPr>
    </w:lvl>
    <w:lvl w:ilvl="2" w:tplc="0409001B" w:tentative="1">
      <w:start w:val="1"/>
      <w:numFmt w:val="lowerRoman"/>
      <w:lvlText w:val="%3."/>
      <w:lvlJc w:val="right"/>
      <w:pPr>
        <w:ind w:left="2439" w:hanging="400"/>
      </w:pPr>
    </w:lvl>
    <w:lvl w:ilvl="3" w:tplc="0409000F" w:tentative="1">
      <w:start w:val="1"/>
      <w:numFmt w:val="decimal"/>
      <w:lvlText w:val="%4."/>
      <w:lvlJc w:val="left"/>
      <w:pPr>
        <w:ind w:left="2839" w:hanging="400"/>
      </w:pPr>
    </w:lvl>
    <w:lvl w:ilvl="4" w:tplc="04090019" w:tentative="1">
      <w:start w:val="1"/>
      <w:numFmt w:val="upperLetter"/>
      <w:lvlText w:val="%5."/>
      <w:lvlJc w:val="left"/>
      <w:pPr>
        <w:ind w:left="3239" w:hanging="400"/>
      </w:pPr>
    </w:lvl>
    <w:lvl w:ilvl="5" w:tplc="0409001B" w:tentative="1">
      <w:start w:val="1"/>
      <w:numFmt w:val="lowerRoman"/>
      <w:lvlText w:val="%6."/>
      <w:lvlJc w:val="right"/>
      <w:pPr>
        <w:ind w:left="3639" w:hanging="400"/>
      </w:pPr>
    </w:lvl>
    <w:lvl w:ilvl="6" w:tplc="0409000F" w:tentative="1">
      <w:start w:val="1"/>
      <w:numFmt w:val="decimal"/>
      <w:lvlText w:val="%7."/>
      <w:lvlJc w:val="left"/>
      <w:pPr>
        <w:ind w:left="4039" w:hanging="400"/>
      </w:pPr>
    </w:lvl>
    <w:lvl w:ilvl="7" w:tplc="04090019" w:tentative="1">
      <w:start w:val="1"/>
      <w:numFmt w:val="upperLetter"/>
      <w:lvlText w:val="%8."/>
      <w:lvlJc w:val="left"/>
      <w:pPr>
        <w:ind w:left="4439" w:hanging="400"/>
      </w:pPr>
    </w:lvl>
    <w:lvl w:ilvl="8" w:tplc="0409001B" w:tentative="1">
      <w:start w:val="1"/>
      <w:numFmt w:val="lowerRoman"/>
      <w:lvlText w:val="%9."/>
      <w:lvlJc w:val="right"/>
      <w:pPr>
        <w:ind w:left="4839" w:hanging="400"/>
      </w:pPr>
    </w:lvl>
  </w:abstractNum>
  <w:abstractNum w:abstractNumId="18" w15:restartNumberingAfterBreak="0">
    <w:nsid w:val="14873082"/>
    <w:multiLevelType w:val="hybridMultilevel"/>
    <w:tmpl w:val="89527B14"/>
    <w:lvl w:ilvl="0" w:tplc="13749C26">
      <w:start w:val="1"/>
      <w:numFmt w:val="upperRoman"/>
      <w:lvlText w:val="%1."/>
      <w:lvlJc w:val="left"/>
      <w:pPr>
        <w:ind w:left="1920" w:hanging="720"/>
      </w:pPr>
      <w:rPr>
        <w:rFonts w:ascii="Times New Roman" w:eastAsia="Times New Roman" w:hAnsi="Times New Roman" w:cs="Times New Roman" w:hint="default"/>
        <w:b/>
        <w:bCs/>
        <w:i w:val="0"/>
        <w:iCs w:val="0"/>
        <w:w w:val="99"/>
        <w:sz w:val="24"/>
        <w:szCs w:val="24"/>
        <w:lang w:val="en-US" w:eastAsia="en-US" w:bidi="ar-SA"/>
      </w:rPr>
    </w:lvl>
    <w:lvl w:ilvl="1" w:tplc="0AEEC5E4">
      <w:start w:val="1"/>
      <w:numFmt w:val="upperLetter"/>
      <w:lvlText w:val="%2."/>
      <w:lvlJc w:val="left"/>
      <w:pPr>
        <w:ind w:left="2280" w:hanging="360"/>
      </w:pPr>
      <w:rPr>
        <w:rFonts w:ascii="Times New Roman" w:eastAsia="Times New Roman" w:hAnsi="Times New Roman" w:cs="Times New Roman" w:hint="default"/>
        <w:b/>
        <w:bCs/>
        <w:i w:val="0"/>
        <w:iCs w:val="0"/>
        <w:spacing w:val="-1"/>
        <w:w w:val="99"/>
        <w:sz w:val="24"/>
        <w:szCs w:val="24"/>
        <w:lang w:val="en-US" w:eastAsia="en-US" w:bidi="ar-SA"/>
      </w:rPr>
    </w:lvl>
    <w:lvl w:ilvl="2" w:tplc="300A4940">
      <w:start w:val="1"/>
      <w:numFmt w:val="lowerRoman"/>
      <w:lvlText w:val="%3."/>
      <w:lvlJc w:val="left"/>
      <w:pPr>
        <w:ind w:left="3000" w:hanging="286"/>
        <w:jc w:val="right"/>
      </w:pPr>
      <w:rPr>
        <w:rFonts w:hint="default"/>
        <w:spacing w:val="-1"/>
        <w:w w:val="99"/>
        <w:lang w:val="en-US" w:eastAsia="en-US" w:bidi="ar-SA"/>
      </w:rPr>
    </w:lvl>
    <w:lvl w:ilvl="3" w:tplc="AAA86862">
      <w:start w:val="1"/>
      <w:numFmt w:val="decimal"/>
      <w:lvlText w:val="%4."/>
      <w:lvlJc w:val="left"/>
      <w:pPr>
        <w:ind w:left="3000" w:hanging="360"/>
      </w:pPr>
      <w:rPr>
        <w:rFonts w:hint="default"/>
        <w:w w:val="100"/>
        <w:lang w:val="en-US" w:eastAsia="en-US" w:bidi="ar-SA"/>
      </w:rPr>
    </w:lvl>
    <w:lvl w:ilvl="4" w:tplc="117E7C0C">
      <w:start w:val="1"/>
      <w:numFmt w:val="upperRoman"/>
      <w:lvlText w:val="%5."/>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5" w:tplc="B8B80AA8">
      <w:start w:val="1"/>
      <w:numFmt w:val="lowerRoman"/>
      <w:lvlText w:val="%6."/>
      <w:lvlJc w:val="left"/>
      <w:pPr>
        <w:ind w:left="5160" w:hanging="360"/>
        <w:jc w:val="right"/>
      </w:pPr>
      <w:rPr>
        <w:rFonts w:ascii="Times New Roman" w:eastAsia="Times New Roman" w:hAnsi="Times New Roman" w:cs="Times New Roman" w:hint="default"/>
        <w:b/>
        <w:bCs/>
        <w:i w:val="0"/>
        <w:iCs w:val="0"/>
        <w:w w:val="100"/>
        <w:sz w:val="24"/>
        <w:szCs w:val="24"/>
        <w:lang w:val="en-US" w:eastAsia="en-US" w:bidi="ar-SA"/>
      </w:rPr>
    </w:lvl>
    <w:lvl w:ilvl="6" w:tplc="41E8B838">
      <w:numFmt w:val="bullet"/>
      <w:lvlText w:val="•"/>
      <w:lvlJc w:val="left"/>
      <w:pPr>
        <w:ind w:left="5220" w:hanging="360"/>
      </w:pPr>
      <w:rPr>
        <w:rFonts w:hint="default"/>
        <w:lang w:val="en-US" w:eastAsia="en-US" w:bidi="ar-SA"/>
      </w:rPr>
    </w:lvl>
    <w:lvl w:ilvl="7" w:tplc="C7549B90">
      <w:numFmt w:val="bullet"/>
      <w:lvlText w:val="•"/>
      <w:lvlJc w:val="left"/>
      <w:pPr>
        <w:ind w:left="6320" w:hanging="360"/>
      </w:pPr>
      <w:rPr>
        <w:rFonts w:hint="default"/>
        <w:lang w:val="en-US" w:eastAsia="en-US" w:bidi="ar-SA"/>
      </w:rPr>
    </w:lvl>
    <w:lvl w:ilvl="8" w:tplc="75E44764">
      <w:numFmt w:val="bullet"/>
      <w:lvlText w:val="•"/>
      <w:lvlJc w:val="left"/>
      <w:pPr>
        <w:ind w:left="7420" w:hanging="360"/>
      </w:pPr>
      <w:rPr>
        <w:rFonts w:hint="default"/>
        <w:lang w:val="en-US" w:eastAsia="en-US" w:bidi="ar-SA"/>
      </w:rPr>
    </w:lvl>
  </w:abstractNum>
  <w:abstractNum w:abstractNumId="19" w15:restartNumberingAfterBreak="0">
    <w:nsid w:val="14A776A6"/>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15797068"/>
    <w:multiLevelType w:val="hybridMultilevel"/>
    <w:tmpl w:val="2F34361C"/>
    <w:lvl w:ilvl="0" w:tplc="526A40DA">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15FD4E57"/>
    <w:multiLevelType w:val="hybridMultilevel"/>
    <w:tmpl w:val="431868E8"/>
    <w:lvl w:ilvl="0" w:tplc="41E8B838">
      <w:numFmt w:val="bullet"/>
      <w:lvlText w:val="•"/>
      <w:lvlJc w:val="left"/>
      <w:pPr>
        <w:ind w:left="1520" w:hanging="400"/>
      </w:pPr>
      <w:rPr>
        <w:rFonts w:hint="default"/>
        <w:lang w:val="en-US" w:eastAsia="en-US" w:bidi="ar-SA"/>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22" w15:restartNumberingAfterBreak="0">
    <w:nsid w:val="16660DDA"/>
    <w:multiLevelType w:val="hybridMultilevel"/>
    <w:tmpl w:val="3C02666A"/>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173E671E"/>
    <w:multiLevelType w:val="hybridMultilevel"/>
    <w:tmpl w:val="551A3806"/>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18541623"/>
    <w:multiLevelType w:val="hybridMultilevel"/>
    <w:tmpl w:val="D8665604"/>
    <w:lvl w:ilvl="0" w:tplc="4AC013A8">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190F01FC"/>
    <w:multiLevelType w:val="hybridMultilevel"/>
    <w:tmpl w:val="7E620298"/>
    <w:lvl w:ilvl="0" w:tplc="00507286">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192145BD"/>
    <w:multiLevelType w:val="hybridMultilevel"/>
    <w:tmpl w:val="A70CF6EE"/>
    <w:lvl w:ilvl="0" w:tplc="D41E0E6E">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1C202DD5"/>
    <w:multiLevelType w:val="hybridMultilevel"/>
    <w:tmpl w:val="ECCC08BE"/>
    <w:lvl w:ilvl="0" w:tplc="CD863A16">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1C9C5424"/>
    <w:multiLevelType w:val="hybridMultilevel"/>
    <w:tmpl w:val="096840F4"/>
    <w:lvl w:ilvl="0" w:tplc="329C09CA">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1CBE4911"/>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1DA16871"/>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1F0778A8"/>
    <w:multiLevelType w:val="hybridMultilevel"/>
    <w:tmpl w:val="2692266C"/>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21555F8C"/>
    <w:multiLevelType w:val="hybridMultilevel"/>
    <w:tmpl w:val="5FD61110"/>
    <w:lvl w:ilvl="0" w:tplc="E9E24910">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223D2A15"/>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2256634B"/>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24E76BDC"/>
    <w:multiLevelType w:val="hybridMultilevel"/>
    <w:tmpl w:val="C06C91F0"/>
    <w:lvl w:ilvl="0" w:tplc="3AA2A2DE">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25C1209C"/>
    <w:multiLevelType w:val="hybridMultilevel"/>
    <w:tmpl w:val="6242E954"/>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25F32269"/>
    <w:multiLevelType w:val="hybridMultilevel"/>
    <w:tmpl w:val="08D65C86"/>
    <w:lvl w:ilvl="0" w:tplc="16BED27A">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27FD4033"/>
    <w:multiLevelType w:val="hybridMultilevel"/>
    <w:tmpl w:val="2E247A94"/>
    <w:lvl w:ilvl="0" w:tplc="1D941B54">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2867425B"/>
    <w:multiLevelType w:val="hybridMultilevel"/>
    <w:tmpl w:val="557034E4"/>
    <w:lvl w:ilvl="0" w:tplc="84181CF4">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29641933"/>
    <w:multiLevelType w:val="hybridMultilevel"/>
    <w:tmpl w:val="AF109CD8"/>
    <w:lvl w:ilvl="0" w:tplc="A5AA12AC">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15:restartNumberingAfterBreak="0">
    <w:nsid w:val="2B576F83"/>
    <w:multiLevelType w:val="hybridMultilevel"/>
    <w:tmpl w:val="A9FCA9AA"/>
    <w:lvl w:ilvl="0" w:tplc="86E45EC2">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2C586A46"/>
    <w:multiLevelType w:val="hybridMultilevel"/>
    <w:tmpl w:val="1FC413AE"/>
    <w:lvl w:ilvl="0" w:tplc="0409000F">
      <w:start w:val="1"/>
      <w:numFmt w:val="decimal"/>
      <w:lvlText w:val="%1."/>
      <w:lvlJc w:val="left"/>
      <w:pPr>
        <w:ind w:left="398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3013014B"/>
    <w:multiLevelType w:val="hybridMultilevel"/>
    <w:tmpl w:val="A550629A"/>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305C006E"/>
    <w:multiLevelType w:val="hybridMultilevel"/>
    <w:tmpl w:val="54BC0C1E"/>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30D51171"/>
    <w:multiLevelType w:val="hybridMultilevel"/>
    <w:tmpl w:val="37AC1C50"/>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15:restartNumberingAfterBreak="0">
    <w:nsid w:val="30FC7ACC"/>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7" w15:restartNumberingAfterBreak="0">
    <w:nsid w:val="33BD1216"/>
    <w:multiLevelType w:val="hybridMultilevel"/>
    <w:tmpl w:val="02666184"/>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15:restartNumberingAfterBreak="0">
    <w:nsid w:val="36702E6E"/>
    <w:multiLevelType w:val="hybridMultilevel"/>
    <w:tmpl w:val="39A60F30"/>
    <w:lvl w:ilvl="0" w:tplc="F072F8EA">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9" w15:restartNumberingAfterBreak="0">
    <w:nsid w:val="36732386"/>
    <w:multiLevelType w:val="hybridMultilevel"/>
    <w:tmpl w:val="089CB718"/>
    <w:lvl w:ilvl="0" w:tplc="4B463618">
      <w:start w:val="1"/>
      <w:numFmt w:val="upperLetter"/>
      <w:lvlText w:val="%1."/>
      <w:lvlJc w:val="left"/>
      <w:pPr>
        <w:ind w:left="2360" w:hanging="400"/>
      </w:pPr>
      <w:rPr>
        <w:rFonts w:hint="eastAsia"/>
      </w:rPr>
    </w:lvl>
    <w:lvl w:ilvl="1" w:tplc="04090019" w:tentative="1">
      <w:start w:val="1"/>
      <w:numFmt w:val="upperLetter"/>
      <w:lvlText w:val="%2."/>
      <w:lvlJc w:val="left"/>
      <w:pPr>
        <w:ind w:left="2760" w:hanging="400"/>
      </w:pPr>
    </w:lvl>
    <w:lvl w:ilvl="2" w:tplc="0409001B" w:tentative="1">
      <w:start w:val="1"/>
      <w:numFmt w:val="lowerRoman"/>
      <w:lvlText w:val="%3."/>
      <w:lvlJc w:val="right"/>
      <w:pPr>
        <w:ind w:left="3160" w:hanging="400"/>
      </w:pPr>
    </w:lvl>
    <w:lvl w:ilvl="3" w:tplc="0409000F" w:tentative="1">
      <w:start w:val="1"/>
      <w:numFmt w:val="decimal"/>
      <w:lvlText w:val="%4."/>
      <w:lvlJc w:val="left"/>
      <w:pPr>
        <w:ind w:left="3560" w:hanging="400"/>
      </w:pPr>
    </w:lvl>
    <w:lvl w:ilvl="4" w:tplc="04090019" w:tentative="1">
      <w:start w:val="1"/>
      <w:numFmt w:val="upperLetter"/>
      <w:lvlText w:val="%5."/>
      <w:lvlJc w:val="left"/>
      <w:pPr>
        <w:ind w:left="3960" w:hanging="400"/>
      </w:pPr>
    </w:lvl>
    <w:lvl w:ilvl="5" w:tplc="0409001B" w:tentative="1">
      <w:start w:val="1"/>
      <w:numFmt w:val="lowerRoman"/>
      <w:lvlText w:val="%6."/>
      <w:lvlJc w:val="right"/>
      <w:pPr>
        <w:ind w:left="4360" w:hanging="400"/>
      </w:pPr>
    </w:lvl>
    <w:lvl w:ilvl="6" w:tplc="0409000F" w:tentative="1">
      <w:start w:val="1"/>
      <w:numFmt w:val="decimal"/>
      <w:lvlText w:val="%7."/>
      <w:lvlJc w:val="left"/>
      <w:pPr>
        <w:ind w:left="4760" w:hanging="400"/>
      </w:pPr>
    </w:lvl>
    <w:lvl w:ilvl="7" w:tplc="04090019" w:tentative="1">
      <w:start w:val="1"/>
      <w:numFmt w:val="upperLetter"/>
      <w:lvlText w:val="%8."/>
      <w:lvlJc w:val="left"/>
      <w:pPr>
        <w:ind w:left="5160" w:hanging="400"/>
      </w:pPr>
    </w:lvl>
    <w:lvl w:ilvl="8" w:tplc="0409001B" w:tentative="1">
      <w:start w:val="1"/>
      <w:numFmt w:val="lowerRoman"/>
      <w:lvlText w:val="%9."/>
      <w:lvlJc w:val="right"/>
      <w:pPr>
        <w:ind w:left="5560" w:hanging="400"/>
      </w:pPr>
    </w:lvl>
  </w:abstractNum>
  <w:abstractNum w:abstractNumId="50" w15:restartNumberingAfterBreak="0">
    <w:nsid w:val="36BC1B89"/>
    <w:multiLevelType w:val="hybridMultilevel"/>
    <w:tmpl w:val="096607C6"/>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15:restartNumberingAfterBreak="0">
    <w:nsid w:val="36E77117"/>
    <w:multiLevelType w:val="hybridMultilevel"/>
    <w:tmpl w:val="8BFCD27C"/>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2" w15:restartNumberingAfterBreak="0">
    <w:nsid w:val="37100F64"/>
    <w:multiLevelType w:val="hybridMultilevel"/>
    <w:tmpl w:val="2294D4FA"/>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3" w15:restartNumberingAfterBreak="0">
    <w:nsid w:val="376B45A0"/>
    <w:multiLevelType w:val="hybridMultilevel"/>
    <w:tmpl w:val="B2B67E54"/>
    <w:lvl w:ilvl="0" w:tplc="58901EC4">
      <w:start w:val="1"/>
      <w:numFmt w:val="upp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54" w15:restartNumberingAfterBreak="0">
    <w:nsid w:val="3A9512E0"/>
    <w:multiLevelType w:val="hybridMultilevel"/>
    <w:tmpl w:val="BBC8707E"/>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5" w15:restartNumberingAfterBreak="0">
    <w:nsid w:val="3AAE5E71"/>
    <w:multiLevelType w:val="hybridMultilevel"/>
    <w:tmpl w:val="A39AC848"/>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6" w15:restartNumberingAfterBreak="0">
    <w:nsid w:val="3C0C6069"/>
    <w:multiLevelType w:val="hybridMultilevel"/>
    <w:tmpl w:val="B51CAA38"/>
    <w:lvl w:ilvl="0" w:tplc="41E8B838">
      <w:numFmt w:val="bullet"/>
      <w:lvlText w:val="•"/>
      <w:lvlJc w:val="left"/>
      <w:pPr>
        <w:ind w:left="800" w:hanging="400"/>
      </w:pPr>
      <w:rPr>
        <w:rFonts w:hint="default"/>
        <w:lang w:val="en-US" w:eastAsia="en-US"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7" w15:restartNumberingAfterBreak="0">
    <w:nsid w:val="3C9E44C8"/>
    <w:multiLevelType w:val="hybridMultilevel"/>
    <w:tmpl w:val="A7A87488"/>
    <w:lvl w:ilvl="0" w:tplc="182E0ED8">
      <w:numFmt w:val="bullet"/>
      <w:lvlText w:val=""/>
      <w:lvlJc w:val="left"/>
      <w:pPr>
        <w:ind w:left="1920" w:hanging="360"/>
      </w:pPr>
      <w:rPr>
        <w:rFonts w:ascii="Symbol" w:eastAsia="Symbol" w:hAnsi="Symbol" w:cs="Symbol" w:hint="default"/>
        <w:b w:val="0"/>
        <w:bCs w:val="0"/>
        <w:i w:val="0"/>
        <w:iCs w:val="0"/>
        <w:w w:val="100"/>
        <w:sz w:val="20"/>
        <w:szCs w:val="20"/>
        <w:lang w:val="en-US" w:eastAsia="en-US" w:bidi="ar-SA"/>
      </w:rPr>
    </w:lvl>
    <w:lvl w:ilvl="1" w:tplc="3B0C97CE">
      <w:numFmt w:val="bullet"/>
      <w:lvlText w:val="•"/>
      <w:lvlJc w:val="left"/>
      <w:pPr>
        <w:ind w:left="2690" w:hanging="360"/>
      </w:pPr>
      <w:rPr>
        <w:rFonts w:hint="default"/>
        <w:lang w:val="en-US" w:eastAsia="en-US" w:bidi="ar-SA"/>
      </w:rPr>
    </w:lvl>
    <w:lvl w:ilvl="2" w:tplc="53E4C5A0">
      <w:numFmt w:val="bullet"/>
      <w:lvlText w:val="•"/>
      <w:lvlJc w:val="left"/>
      <w:pPr>
        <w:ind w:left="3460" w:hanging="360"/>
      </w:pPr>
      <w:rPr>
        <w:rFonts w:hint="default"/>
        <w:lang w:val="en-US" w:eastAsia="en-US" w:bidi="ar-SA"/>
      </w:rPr>
    </w:lvl>
    <w:lvl w:ilvl="3" w:tplc="3B4426EE">
      <w:numFmt w:val="bullet"/>
      <w:lvlText w:val="•"/>
      <w:lvlJc w:val="left"/>
      <w:pPr>
        <w:ind w:left="4230" w:hanging="360"/>
      </w:pPr>
      <w:rPr>
        <w:rFonts w:hint="default"/>
        <w:lang w:val="en-US" w:eastAsia="en-US" w:bidi="ar-SA"/>
      </w:rPr>
    </w:lvl>
    <w:lvl w:ilvl="4" w:tplc="D612FC12">
      <w:numFmt w:val="bullet"/>
      <w:lvlText w:val="•"/>
      <w:lvlJc w:val="left"/>
      <w:pPr>
        <w:ind w:left="5000" w:hanging="360"/>
      </w:pPr>
      <w:rPr>
        <w:rFonts w:hint="default"/>
        <w:lang w:val="en-US" w:eastAsia="en-US" w:bidi="ar-SA"/>
      </w:rPr>
    </w:lvl>
    <w:lvl w:ilvl="5" w:tplc="EE0E11BC">
      <w:numFmt w:val="bullet"/>
      <w:lvlText w:val="•"/>
      <w:lvlJc w:val="left"/>
      <w:pPr>
        <w:ind w:left="5770" w:hanging="360"/>
      </w:pPr>
      <w:rPr>
        <w:rFonts w:hint="default"/>
        <w:lang w:val="en-US" w:eastAsia="en-US" w:bidi="ar-SA"/>
      </w:rPr>
    </w:lvl>
    <w:lvl w:ilvl="6" w:tplc="9E943A9A">
      <w:numFmt w:val="bullet"/>
      <w:lvlText w:val="•"/>
      <w:lvlJc w:val="left"/>
      <w:pPr>
        <w:ind w:left="6540" w:hanging="360"/>
      </w:pPr>
      <w:rPr>
        <w:rFonts w:hint="default"/>
        <w:lang w:val="en-US" w:eastAsia="en-US" w:bidi="ar-SA"/>
      </w:rPr>
    </w:lvl>
    <w:lvl w:ilvl="7" w:tplc="7FF0B566">
      <w:numFmt w:val="bullet"/>
      <w:lvlText w:val="•"/>
      <w:lvlJc w:val="left"/>
      <w:pPr>
        <w:ind w:left="7310" w:hanging="360"/>
      </w:pPr>
      <w:rPr>
        <w:rFonts w:hint="default"/>
        <w:lang w:val="en-US" w:eastAsia="en-US" w:bidi="ar-SA"/>
      </w:rPr>
    </w:lvl>
    <w:lvl w:ilvl="8" w:tplc="8294D0AA">
      <w:numFmt w:val="bullet"/>
      <w:lvlText w:val="•"/>
      <w:lvlJc w:val="left"/>
      <w:pPr>
        <w:ind w:left="8080" w:hanging="360"/>
      </w:pPr>
      <w:rPr>
        <w:rFonts w:hint="default"/>
        <w:lang w:val="en-US" w:eastAsia="en-US" w:bidi="ar-SA"/>
      </w:rPr>
    </w:lvl>
  </w:abstractNum>
  <w:abstractNum w:abstractNumId="58" w15:restartNumberingAfterBreak="0">
    <w:nsid w:val="3F5E4BB8"/>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59" w15:restartNumberingAfterBreak="0">
    <w:nsid w:val="40595128"/>
    <w:multiLevelType w:val="hybridMultilevel"/>
    <w:tmpl w:val="58C27D4A"/>
    <w:lvl w:ilvl="0" w:tplc="33607342">
      <w:start w:val="1"/>
      <w:numFmt w:val="decimal"/>
      <w:lvlText w:val="(%1)"/>
      <w:lvlJc w:val="left"/>
      <w:pPr>
        <w:ind w:left="1225"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625" w:hanging="400"/>
      </w:pPr>
    </w:lvl>
    <w:lvl w:ilvl="2" w:tplc="0409001B" w:tentative="1">
      <w:start w:val="1"/>
      <w:numFmt w:val="lowerRoman"/>
      <w:lvlText w:val="%3."/>
      <w:lvlJc w:val="right"/>
      <w:pPr>
        <w:ind w:left="2025" w:hanging="400"/>
      </w:pPr>
    </w:lvl>
    <w:lvl w:ilvl="3" w:tplc="0409000F" w:tentative="1">
      <w:start w:val="1"/>
      <w:numFmt w:val="decimal"/>
      <w:lvlText w:val="%4."/>
      <w:lvlJc w:val="left"/>
      <w:pPr>
        <w:ind w:left="2425" w:hanging="400"/>
      </w:pPr>
    </w:lvl>
    <w:lvl w:ilvl="4" w:tplc="04090019" w:tentative="1">
      <w:start w:val="1"/>
      <w:numFmt w:val="upperLetter"/>
      <w:lvlText w:val="%5."/>
      <w:lvlJc w:val="left"/>
      <w:pPr>
        <w:ind w:left="2825" w:hanging="400"/>
      </w:pPr>
    </w:lvl>
    <w:lvl w:ilvl="5" w:tplc="0409001B" w:tentative="1">
      <w:start w:val="1"/>
      <w:numFmt w:val="lowerRoman"/>
      <w:lvlText w:val="%6."/>
      <w:lvlJc w:val="right"/>
      <w:pPr>
        <w:ind w:left="3225" w:hanging="400"/>
      </w:pPr>
    </w:lvl>
    <w:lvl w:ilvl="6" w:tplc="0409000F" w:tentative="1">
      <w:start w:val="1"/>
      <w:numFmt w:val="decimal"/>
      <w:lvlText w:val="%7."/>
      <w:lvlJc w:val="left"/>
      <w:pPr>
        <w:ind w:left="3625" w:hanging="400"/>
      </w:pPr>
    </w:lvl>
    <w:lvl w:ilvl="7" w:tplc="04090019" w:tentative="1">
      <w:start w:val="1"/>
      <w:numFmt w:val="upperLetter"/>
      <w:lvlText w:val="%8."/>
      <w:lvlJc w:val="left"/>
      <w:pPr>
        <w:ind w:left="4025" w:hanging="400"/>
      </w:pPr>
    </w:lvl>
    <w:lvl w:ilvl="8" w:tplc="0409001B" w:tentative="1">
      <w:start w:val="1"/>
      <w:numFmt w:val="lowerRoman"/>
      <w:lvlText w:val="%9."/>
      <w:lvlJc w:val="right"/>
      <w:pPr>
        <w:ind w:left="4425" w:hanging="400"/>
      </w:pPr>
    </w:lvl>
  </w:abstractNum>
  <w:abstractNum w:abstractNumId="60" w15:restartNumberingAfterBreak="0">
    <w:nsid w:val="438928EF"/>
    <w:multiLevelType w:val="hybridMultilevel"/>
    <w:tmpl w:val="3FECCE66"/>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1" w15:restartNumberingAfterBreak="0">
    <w:nsid w:val="449F54CA"/>
    <w:multiLevelType w:val="hybridMultilevel"/>
    <w:tmpl w:val="1FC413AE"/>
    <w:lvl w:ilvl="0" w:tplc="0409000F">
      <w:start w:val="1"/>
      <w:numFmt w:val="decimal"/>
      <w:lvlText w:val="%1."/>
      <w:lvlJc w:val="left"/>
      <w:pPr>
        <w:ind w:left="398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2" w15:restartNumberingAfterBreak="0">
    <w:nsid w:val="46752F7B"/>
    <w:multiLevelType w:val="hybridMultilevel"/>
    <w:tmpl w:val="858E15BC"/>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3" w15:restartNumberingAfterBreak="0">
    <w:nsid w:val="46FA1D4F"/>
    <w:multiLevelType w:val="hybridMultilevel"/>
    <w:tmpl w:val="2802579C"/>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4" w15:restartNumberingAfterBreak="0">
    <w:nsid w:val="48371FF7"/>
    <w:multiLevelType w:val="hybridMultilevel"/>
    <w:tmpl w:val="B2FA8D30"/>
    <w:lvl w:ilvl="0" w:tplc="EF3C59AE">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5" w15:restartNumberingAfterBreak="0">
    <w:nsid w:val="48A1162A"/>
    <w:multiLevelType w:val="hybridMultilevel"/>
    <w:tmpl w:val="CC4E6190"/>
    <w:lvl w:ilvl="0" w:tplc="117E7C0C">
      <w:start w:val="1"/>
      <w:numFmt w:val="upperRoman"/>
      <w:lvlText w:val="%1."/>
      <w:lvlJc w:val="left"/>
      <w:pPr>
        <w:ind w:left="4711" w:hanging="360"/>
      </w:pPr>
      <w:rPr>
        <w:rFonts w:asciiTheme="minorEastAsia" w:eastAsiaTheme="minorEastAsia" w:hAnsiTheme="minorEastAsia" w:cs="Times New Roman" w:hint="default"/>
        <w:b/>
        <w:bCs/>
        <w:i w:val="0"/>
        <w:iCs w:val="0"/>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6" w15:restartNumberingAfterBreak="0">
    <w:nsid w:val="4AAC759C"/>
    <w:multiLevelType w:val="hybridMultilevel"/>
    <w:tmpl w:val="F61A00DE"/>
    <w:lvl w:ilvl="0" w:tplc="7BFABB80">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7" w15:restartNumberingAfterBreak="0">
    <w:nsid w:val="4BE01C87"/>
    <w:multiLevelType w:val="hybridMultilevel"/>
    <w:tmpl w:val="1FC413AE"/>
    <w:lvl w:ilvl="0" w:tplc="0409000F">
      <w:start w:val="1"/>
      <w:numFmt w:val="decimal"/>
      <w:lvlText w:val="%1."/>
      <w:lvlJc w:val="left"/>
      <w:pPr>
        <w:ind w:left="398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8" w15:restartNumberingAfterBreak="0">
    <w:nsid w:val="4E3933FC"/>
    <w:multiLevelType w:val="hybridMultilevel"/>
    <w:tmpl w:val="86B8BD92"/>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9" w15:restartNumberingAfterBreak="0">
    <w:nsid w:val="4E416820"/>
    <w:multiLevelType w:val="hybridMultilevel"/>
    <w:tmpl w:val="06BA5CD4"/>
    <w:lvl w:ilvl="0" w:tplc="9CF884C0">
      <w:start w:val="1"/>
      <w:numFmt w:val="upperLetter"/>
      <w:lvlText w:val="(%1)"/>
      <w:lvlJc w:val="left"/>
      <w:pPr>
        <w:ind w:left="800" w:hanging="400"/>
      </w:pPr>
      <w:rPr>
        <w:rFonts w:asciiTheme="minorEastAsia" w:eastAsiaTheme="minorEastAsia" w:hAnsiTheme="minorEastAsia" w:cs="Times New Roman" w:hint="default"/>
        <w:b w:val="0"/>
        <w:bCs w:val="0"/>
        <w:i w:val="0"/>
        <w:iCs w:val="0"/>
        <w:spacing w:val="-1"/>
        <w:w w:val="100"/>
        <w:sz w:val="20"/>
        <w:szCs w:val="24"/>
        <w:lang w:val="en-US"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0" w15:restartNumberingAfterBreak="0">
    <w:nsid w:val="51376807"/>
    <w:multiLevelType w:val="hybridMultilevel"/>
    <w:tmpl w:val="089CB718"/>
    <w:lvl w:ilvl="0" w:tplc="4B463618">
      <w:start w:val="1"/>
      <w:numFmt w:val="upperLetter"/>
      <w:lvlText w:val="%1."/>
      <w:lvlJc w:val="left"/>
      <w:pPr>
        <w:ind w:left="2360" w:hanging="400"/>
      </w:pPr>
      <w:rPr>
        <w:rFonts w:hint="eastAsia"/>
      </w:rPr>
    </w:lvl>
    <w:lvl w:ilvl="1" w:tplc="04090019" w:tentative="1">
      <w:start w:val="1"/>
      <w:numFmt w:val="upperLetter"/>
      <w:lvlText w:val="%2."/>
      <w:lvlJc w:val="left"/>
      <w:pPr>
        <w:ind w:left="2760" w:hanging="400"/>
      </w:pPr>
    </w:lvl>
    <w:lvl w:ilvl="2" w:tplc="0409001B" w:tentative="1">
      <w:start w:val="1"/>
      <w:numFmt w:val="lowerRoman"/>
      <w:lvlText w:val="%3."/>
      <w:lvlJc w:val="right"/>
      <w:pPr>
        <w:ind w:left="3160" w:hanging="400"/>
      </w:pPr>
    </w:lvl>
    <w:lvl w:ilvl="3" w:tplc="0409000F" w:tentative="1">
      <w:start w:val="1"/>
      <w:numFmt w:val="decimal"/>
      <w:lvlText w:val="%4."/>
      <w:lvlJc w:val="left"/>
      <w:pPr>
        <w:ind w:left="3560" w:hanging="400"/>
      </w:pPr>
    </w:lvl>
    <w:lvl w:ilvl="4" w:tplc="04090019" w:tentative="1">
      <w:start w:val="1"/>
      <w:numFmt w:val="upperLetter"/>
      <w:lvlText w:val="%5."/>
      <w:lvlJc w:val="left"/>
      <w:pPr>
        <w:ind w:left="3960" w:hanging="400"/>
      </w:pPr>
    </w:lvl>
    <w:lvl w:ilvl="5" w:tplc="0409001B" w:tentative="1">
      <w:start w:val="1"/>
      <w:numFmt w:val="lowerRoman"/>
      <w:lvlText w:val="%6."/>
      <w:lvlJc w:val="right"/>
      <w:pPr>
        <w:ind w:left="4360" w:hanging="400"/>
      </w:pPr>
    </w:lvl>
    <w:lvl w:ilvl="6" w:tplc="0409000F" w:tentative="1">
      <w:start w:val="1"/>
      <w:numFmt w:val="decimal"/>
      <w:lvlText w:val="%7."/>
      <w:lvlJc w:val="left"/>
      <w:pPr>
        <w:ind w:left="4760" w:hanging="400"/>
      </w:pPr>
    </w:lvl>
    <w:lvl w:ilvl="7" w:tplc="04090019" w:tentative="1">
      <w:start w:val="1"/>
      <w:numFmt w:val="upperLetter"/>
      <w:lvlText w:val="%8."/>
      <w:lvlJc w:val="left"/>
      <w:pPr>
        <w:ind w:left="5160" w:hanging="400"/>
      </w:pPr>
    </w:lvl>
    <w:lvl w:ilvl="8" w:tplc="0409001B" w:tentative="1">
      <w:start w:val="1"/>
      <w:numFmt w:val="lowerRoman"/>
      <w:lvlText w:val="%9."/>
      <w:lvlJc w:val="right"/>
      <w:pPr>
        <w:ind w:left="5560" w:hanging="400"/>
      </w:pPr>
    </w:lvl>
  </w:abstractNum>
  <w:abstractNum w:abstractNumId="71" w15:restartNumberingAfterBreak="0">
    <w:nsid w:val="515B5305"/>
    <w:multiLevelType w:val="hybridMultilevel"/>
    <w:tmpl w:val="07F8EEB4"/>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2" w15:restartNumberingAfterBreak="0">
    <w:nsid w:val="523B7A2D"/>
    <w:multiLevelType w:val="hybridMultilevel"/>
    <w:tmpl w:val="7730D9AA"/>
    <w:lvl w:ilvl="0" w:tplc="F09C3EE8">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3" w15:restartNumberingAfterBreak="0">
    <w:nsid w:val="52DF05B8"/>
    <w:multiLevelType w:val="hybridMultilevel"/>
    <w:tmpl w:val="A17EFDDA"/>
    <w:lvl w:ilvl="0" w:tplc="2C94B28E">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4" w15:restartNumberingAfterBreak="0">
    <w:nsid w:val="536810EA"/>
    <w:multiLevelType w:val="hybridMultilevel"/>
    <w:tmpl w:val="4B36E788"/>
    <w:lvl w:ilvl="0" w:tplc="F7FABE4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5" w15:restartNumberingAfterBreak="0">
    <w:nsid w:val="53941CB5"/>
    <w:multiLevelType w:val="hybridMultilevel"/>
    <w:tmpl w:val="CEF89242"/>
    <w:lvl w:ilvl="0" w:tplc="88F46594">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6" w15:restartNumberingAfterBreak="0">
    <w:nsid w:val="54143E83"/>
    <w:multiLevelType w:val="hybridMultilevel"/>
    <w:tmpl w:val="0DB42996"/>
    <w:lvl w:ilvl="0" w:tplc="C848102C">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7" w15:restartNumberingAfterBreak="0">
    <w:nsid w:val="54E176CD"/>
    <w:multiLevelType w:val="hybridMultilevel"/>
    <w:tmpl w:val="5DA02FEE"/>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8" w15:restartNumberingAfterBreak="0">
    <w:nsid w:val="551679FD"/>
    <w:multiLevelType w:val="hybridMultilevel"/>
    <w:tmpl w:val="6A2473A8"/>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9" w15:restartNumberingAfterBreak="0">
    <w:nsid w:val="554035BC"/>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80" w15:restartNumberingAfterBreak="0">
    <w:nsid w:val="567F0C82"/>
    <w:multiLevelType w:val="hybridMultilevel"/>
    <w:tmpl w:val="37AE83F8"/>
    <w:lvl w:ilvl="0" w:tplc="58901EC4">
      <w:start w:val="1"/>
      <w:numFmt w:val="upperRoman"/>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1" w15:restartNumberingAfterBreak="0">
    <w:nsid w:val="58464B4E"/>
    <w:multiLevelType w:val="hybridMultilevel"/>
    <w:tmpl w:val="61FA18EC"/>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2" w15:restartNumberingAfterBreak="0">
    <w:nsid w:val="597A6E9F"/>
    <w:multiLevelType w:val="hybridMultilevel"/>
    <w:tmpl w:val="A344E508"/>
    <w:lvl w:ilvl="0" w:tplc="21A0733E">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3" w15:restartNumberingAfterBreak="0">
    <w:nsid w:val="59E97C78"/>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84" w15:restartNumberingAfterBreak="0">
    <w:nsid w:val="5A077C1F"/>
    <w:multiLevelType w:val="hybridMultilevel"/>
    <w:tmpl w:val="40D801CC"/>
    <w:lvl w:ilvl="0" w:tplc="4D5C5C14">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5" w15:restartNumberingAfterBreak="0">
    <w:nsid w:val="5BAB7E7E"/>
    <w:multiLevelType w:val="hybridMultilevel"/>
    <w:tmpl w:val="CE82ED1A"/>
    <w:lvl w:ilvl="0" w:tplc="3B4C5200">
      <w:start w:val="1"/>
      <w:numFmt w:val="decimal"/>
      <w:lvlText w:val="(%1)"/>
      <w:lvlJc w:val="left"/>
      <w:pPr>
        <w:ind w:left="840" w:hanging="339"/>
      </w:pPr>
      <w:rPr>
        <w:rFonts w:asciiTheme="minorEastAsia" w:eastAsiaTheme="minorEastAsia" w:hAnsiTheme="minorEastAsia" w:cs="Times New Roman" w:hint="default"/>
        <w:b w:val="0"/>
        <w:bCs w:val="0"/>
        <w:i w:val="0"/>
        <w:iCs w:val="0"/>
        <w:spacing w:val="-1"/>
        <w:w w:val="100"/>
        <w:sz w:val="20"/>
        <w:szCs w:val="20"/>
        <w:lang w:val="en-US" w:eastAsia="en-US" w:bidi="ar-SA"/>
      </w:rPr>
    </w:lvl>
    <w:lvl w:ilvl="1" w:tplc="D9E84C6A">
      <w:start w:val="1"/>
      <w:numFmt w:val="lowerRoman"/>
      <w:lvlText w:val="(%2)"/>
      <w:lvlJc w:val="left"/>
      <w:pPr>
        <w:ind w:left="1560" w:hanging="286"/>
      </w:pPr>
      <w:rPr>
        <w:rFonts w:asciiTheme="minorEastAsia" w:eastAsiaTheme="minorEastAsia" w:hAnsiTheme="minorEastAsia" w:cs="Times New Roman" w:hint="default"/>
        <w:b w:val="0"/>
        <w:bCs w:val="0"/>
        <w:i w:val="0"/>
        <w:iCs w:val="0"/>
        <w:spacing w:val="-1"/>
        <w:w w:val="100"/>
        <w:sz w:val="20"/>
        <w:szCs w:val="20"/>
        <w:lang w:val="en-US" w:eastAsia="en-US" w:bidi="ar-SA"/>
      </w:rPr>
    </w:lvl>
    <w:lvl w:ilvl="2" w:tplc="B30AFE0A">
      <w:start w:val="1"/>
      <w:numFmt w:val="upperLetter"/>
      <w:lvlText w:val="(%3)"/>
      <w:lvlJc w:val="left"/>
      <w:pPr>
        <w:ind w:left="2671" w:hanging="392"/>
      </w:pPr>
      <w:rPr>
        <w:rFonts w:asciiTheme="minorEastAsia" w:eastAsiaTheme="minorEastAsia" w:hAnsiTheme="minorEastAsia" w:cs="Times New Roman" w:hint="default"/>
        <w:b w:val="0"/>
        <w:bCs w:val="0"/>
        <w:i w:val="0"/>
        <w:iCs w:val="0"/>
        <w:spacing w:val="-1"/>
        <w:w w:val="100"/>
        <w:sz w:val="20"/>
        <w:szCs w:val="20"/>
        <w:lang w:val="en-US" w:eastAsia="en-US" w:bidi="ar-SA"/>
      </w:rPr>
    </w:lvl>
    <w:lvl w:ilvl="3" w:tplc="7B54E32C">
      <w:numFmt w:val="bullet"/>
      <w:lvlText w:val="•"/>
      <w:lvlJc w:val="left"/>
      <w:pPr>
        <w:ind w:left="3547" w:hanging="392"/>
      </w:pPr>
      <w:rPr>
        <w:lang w:val="en-US" w:eastAsia="en-US" w:bidi="ar-SA"/>
      </w:rPr>
    </w:lvl>
    <w:lvl w:ilvl="4" w:tplc="9EC0B0B4">
      <w:numFmt w:val="bullet"/>
      <w:lvlText w:val="•"/>
      <w:lvlJc w:val="left"/>
      <w:pPr>
        <w:ind w:left="4415" w:hanging="392"/>
      </w:pPr>
      <w:rPr>
        <w:lang w:val="en-US" w:eastAsia="en-US" w:bidi="ar-SA"/>
      </w:rPr>
    </w:lvl>
    <w:lvl w:ilvl="5" w:tplc="5672CF02">
      <w:numFmt w:val="bullet"/>
      <w:lvlText w:val="•"/>
      <w:lvlJc w:val="left"/>
      <w:pPr>
        <w:ind w:left="5282" w:hanging="392"/>
      </w:pPr>
      <w:rPr>
        <w:lang w:val="en-US" w:eastAsia="en-US" w:bidi="ar-SA"/>
      </w:rPr>
    </w:lvl>
    <w:lvl w:ilvl="6" w:tplc="04581CAE">
      <w:numFmt w:val="bullet"/>
      <w:lvlText w:val="•"/>
      <w:lvlJc w:val="left"/>
      <w:pPr>
        <w:ind w:left="6150" w:hanging="392"/>
      </w:pPr>
      <w:rPr>
        <w:lang w:val="en-US" w:eastAsia="en-US" w:bidi="ar-SA"/>
      </w:rPr>
    </w:lvl>
    <w:lvl w:ilvl="7" w:tplc="8774E5E0">
      <w:numFmt w:val="bullet"/>
      <w:lvlText w:val="•"/>
      <w:lvlJc w:val="left"/>
      <w:pPr>
        <w:ind w:left="7017" w:hanging="392"/>
      </w:pPr>
      <w:rPr>
        <w:lang w:val="en-US" w:eastAsia="en-US" w:bidi="ar-SA"/>
      </w:rPr>
    </w:lvl>
    <w:lvl w:ilvl="8" w:tplc="70BC4D5A">
      <w:numFmt w:val="bullet"/>
      <w:lvlText w:val="•"/>
      <w:lvlJc w:val="left"/>
      <w:pPr>
        <w:ind w:left="7885" w:hanging="392"/>
      </w:pPr>
      <w:rPr>
        <w:lang w:val="en-US" w:eastAsia="en-US" w:bidi="ar-SA"/>
      </w:rPr>
    </w:lvl>
  </w:abstractNum>
  <w:abstractNum w:abstractNumId="86" w15:restartNumberingAfterBreak="0">
    <w:nsid w:val="5C723A1E"/>
    <w:multiLevelType w:val="hybridMultilevel"/>
    <w:tmpl w:val="A6D6E6E6"/>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7" w15:restartNumberingAfterBreak="0">
    <w:nsid w:val="5C82425B"/>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88" w15:restartNumberingAfterBreak="0">
    <w:nsid w:val="5CBB33C3"/>
    <w:multiLevelType w:val="hybridMultilevel"/>
    <w:tmpl w:val="79BC9188"/>
    <w:lvl w:ilvl="0" w:tplc="AD00790C">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9" w15:restartNumberingAfterBreak="0">
    <w:nsid w:val="5DD15829"/>
    <w:multiLevelType w:val="hybridMultilevel"/>
    <w:tmpl w:val="3DD21558"/>
    <w:lvl w:ilvl="0" w:tplc="2FC272F4">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0" w15:restartNumberingAfterBreak="0">
    <w:nsid w:val="5DF65E7F"/>
    <w:multiLevelType w:val="hybridMultilevel"/>
    <w:tmpl w:val="1FC413AE"/>
    <w:lvl w:ilvl="0" w:tplc="0409000F">
      <w:start w:val="1"/>
      <w:numFmt w:val="decimal"/>
      <w:lvlText w:val="%1."/>
      <w:lvlJc w:val="left"/>
      <w:pPr>
        <w:ind w:left="398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1" w15:restartNumberingAfterBreak="0">
    <w:nsid w:val="5E900323"/>
    <w:multiLevelType w:val="hybridMultilevel"/>
    <w:tmpl w:val="168C775A"/>
    <w:lvl w:ilvl="0" w:tplc="135C1244">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2" w15:restartNumberingAfterBreak="0">
    <w:nsid w:val="61D610F2"/>
    <w:multiLevelType w:val="hybridMultilevel"/>
    <w:tmpl w:val="F3F8FEA0"/>
    <w:lvl w:ilvl="0" w:tplc="E9E0C48A">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3" w15:restartNumberingAfterBreak="0">
    <w:nsid w:val="653566B8"/>
    <w:multiLevelType w:val="hybridMultilevel"/>
    <w:tmpl w:val="1FC413AE"/>
    <w:lvl w:ilvl="0" w:tplc="0409000F">
      <w:start w:val="1"/>
      <w:numFmt w:val="decimal"/>
      <w:lvlText w:val="%1."/>
      <w:lvlJc w:val="left"/>
      <w:pPr>
        <w:ind w:left="3985"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4" w15:restartNumberingAfterBreak="0">
    <w:nsid w:val="66866EA2"/>
    <w:multiLevelType w:val="hybridMultilevel"/>
    <w:tmpl w:val="3A02BC3A"/>
    <w:lvl w:ilvl="0" w:tplc="8F205C48">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5" w15:restartNumberingAfterBreak="0">
    <w:nsid w:val="66F3473B"/>
    <w:multiLevelType w:val="hybridMultilevel"/>
    <w:tmpl w:val="A9A4AC58"/>
    <w:lvl w:ilvl="0" w:tplc="90EAC5A6">
      <w:start w:val="1"/>
      <w:numFmt w:val="decimal"/>
      <w:lvlText w:val="%1."/>
      <w:lvlJc w:val="left"/>
      <w:pPr>
        <w:ind w:left="800" w:hanging="400"/>
      </w:pPr>
      <w:rPr>
        <w:rFonts w:eastAsiaTheme="minorEastAsia" w:hint="default"/>
        <w:b w:val="0"/>
        <w:i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6" w15:restartNumberingAfterBreak="0">
    <w:nsid w:val="67FB4E5F"/>
    <w:multiLevelType w:val="hybridMultilevel"/>
    <w:tmpl w:val="8E303128"/>
    <w:lvl w:ilvl="0" w:tplc="ADDA1FE4">
      <w:start w:val="1"/>
      <w:numFmt w:val="lowerRoman"/>
      <w:lvlText w:val="(%1)"/>
      <w:lvlJc w:val="left"/>
      <w:pPr>
        <w:ind w:left="800" w:hanging="400"/>
      </w:pPr>
      <w:rPr>
        <w:rFonts w:asciiTheme="minorEastAsia" w:eastAsia="맑은 고딕" w:cs="Cambria" w:hint="default"/>
        <w:b w:val="0"/>
        <w:bCs w:val="0"/>
        <w:i w:val="0"/>
        <w:iCs w:val="0"/>
        <w:w w:val="95"/>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7" w15:restartNumberingAfterBreak="0">
    <w:nsid w:val="6A157044"/>
    <w:multiLevelType w:val="hybridMultilevel"/>
    <w:tmpl w:val="019C264C"/>
    <w:lvl w:ilvl="0" w:tplc="AFAAAEDE">
      <w:start w:val="1"/>
      <w:numFmt w:val="lowerRoman"/>
      <w:lvlText w:val="%1."/>
      <w:lvlJc w:val="left"/>
      <w:pPr>
        <w:ind w:left="2785" w:hanging="400"/>
      </w:pPr>
      <w:rPr>
        <w:rFonts w:hint="eastAsia"/>
      </w:rPr>
    </w:lvl>
    <w:lvl w:ilvl="1" w:tplc="04090019" w:tentative="1">
      <w:start w:val="1"/>
      <w:numFmt w:val="upperLetter"/>
      <w:lvlText w:val="%2."/>
      <w:lvlJc w:val="left"/>
      <w:pPr>
        <w:ind w:left="3185" w:hanging="400"/>
      </w:pPr>
    </w:lvl>
    <w:lvl w:ilvl="2" w:tplc="0409001B" w:tentative="1">
      <w:start w:val="1"/>
      <w:numFmt w:val="lowerRoman"/>
      <w:lvlText w:val="%3."/>
      <w:lvlJc w:val="right"/>
      <w:pPr>
        <w:ind w:left="3585" w:hanging="400"/>
      </w:pPr>
    </w:lvl>
    <w:lvl w:ilvl="3" w:tplc="0409000F">
      <w:start w:val="1"/>
      <w:numFmt w:val="decimal"/>
      <w:lvlText w:val="%4."/>
      <w:lvlJc w:val="left"/>
      <w:pPr>
        <w:ind w:left="3985" w:hanging="400"/>
      </w:pPr>
    </w:lvl>
    <w:lvl w:ilvl="4" w:tplc="04090019" w:tentative="1">
      <w:start w:val="1"/>
      <w:numFmt w:val="upperLetter"/>
      <w:lvlText w:val="%5."/>
      <w:lvlJc w:val="left"/>
      <w:pPr>
        <w:ind w:left="4385" w:hanging="400"/>
      </w:pPr>
    </w:lvl>
    <w:lvl w:ilvl="5" w:tplc="0409001B" w:tentative="1">
      <w:start w:val="1"/>
      <w:numFmt w:val="lowerRoman"/>
      <w:lvlText w:val="%6."/>
      <w:lvlJc w:val="right"/>
      <w:pPr>
        <w:ind w:left="4785" w:hanging="400"/>
      </w:pPr>
    </w:lvl>
    <w:lvl w:ilvl="6" w:tplc="0409000F" w:tentative="1">
      <w:start w:val="1"/>
      <w:numFmt w:val="decimal"/>
      <w:lvlText w:val="%7."/>
      <w:lvlJc w:val="left"/>
      <w:pPr>
        <w:ind w:left="5185" w:hanging="400"/>
      </w:pPr>
    </w:lvl>
    <w:lvl w:ilvl="7" w:tplc="04090019" w:tentative="1">
      <w:start w:val="1"/>
      <w:numFmt w:val="upperLetter"/>
      <w:lvlText w:val="%8."/>
      <w:lvlJc w:val="left"/>
      <w:pPr>
        <w:ind w:left="5585" w:hanging="400"/>
      </w:pPr>
    </w:lvl>
    <w:lvl w:ilvl="8" w:tplc="0409001B" w:tentative="1">
      <w:start w:val="1"/>
      <w:numFmt w:val="lowerRoman"/>
      <w:lvlText w:val="%9."/>
      <w:lvlJc w:val="right"/>
      <w:pPr>
        <w:ind w:left="5985" w:hanging="400"/>
      </w:pPr>
    </w:lvl>
  </w:abstractNum>
  <w:abstractNum w:abstractNumId="98" w15:restartNumberingAfterBreak="0">
    <w:nsid w:val="6AA7523F"/>
    <w:multiLevelType w:val="hybridMultilevel"/>
    <w:tmpl w:val="D0F6FDBA"/>
    <w:lvl w:ilvl="0" w:tplc="8B6C2934">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9" w15:restartNumberingAfterBreak="0">
    <w:nsid w:val="6D756372"/>
    <w:multiLevelType w:val="hybridMultilevel"/>
    <w:tmpl w:val="9B34BCE4"/>
    <w:lvl w:ilvl="0" w:tplc="223A76E8">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0" w15:restartNumberingAfterBreak="0">
    <w:nsid w:val="6DA23757"/>
    <w:multiLevelType w:val="hybridMultilevel"/>
    <w:tmpl w:val="A98C08EA"/>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1" w15:restartNumberingAfterBreak="0">
    <w:nsid w:val="6FCC38A7"/>
    <w:multiLevelType w:val="hybridMultilevel"/>
    <w:tmpl w:val="5DA02FEE"/>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2" w15:restartNumberingAfterBreak="0">
    <w:nsid w:val="717577AC"/>
    <w:multiLevelType w:val="hybridMultilevel"/>
    <w:tmpl w:val="BC440BA4"/>
    <w:lvl w:ilvl="0" w:tplc="D898DBE4">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3" w15:restartNumberingAfterBreak="0">
    <w:nsid w:val="733462DE"/>
    <w:multiLevelType w:val="hybridMultilevel"/>
    <w:tmpl w:val="DF8EF89A"/>
    <w:lvl w:ilvl="0" w:tplc="C5CA7188">
      <w:start w:val="1"/>
      <w:numFmt w:val="lowerRoman"/>
      <w:lvlText w:val="(%1)"/>
      <w:lvlJc w:val="left"/>
      <w:pPr>
        <w:ind w:left="800" w:hanging="400"/>
      </w:pPr>
      <w:rPr>
        <w:rFonts w:asciiTheme="minorEastAsia" w:eastAsia="맑은 고딕" w:cs="Cambria" w:hint="default"/>
        <w:b w:val="0"/>
        <w:bCs w:val="0"/>
        <w:i w:val="0"/>
        <w:iCs w:val="0"/>
        <w:w w:val="100"/>
        <w:sz w:val="20"/>
        <w:szCs w:val="1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4" w15:restartNumberingAfterBreak="0">
    <w:nsid w:val="74F94799"/>
    <w:multiLevelType w:val="hybridMultilevel"/>
    <w:tmpl w:val="0ED43AF6"/>
    <w:lvl w:ilvl="0" w:tplc="73A4C456">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5" w15:restartNumberingAfterBreak="0">
    <w:nsid w:val="7518765A"/>
    <w:multiLevelType w:val="multilevel"/>
    <w:tmpl w:val="054C6FCA"/>
    <w:lvl w:ilvl="0">
      <w:start w:val="1"/>
      <w:numFmt w:val="decimal"/>
      <w:lvlText w:val="%1"/>
      <w:lvlJc w:val="left"/>
      <w:pPr>
        <w:ind w:left="960" w:hanging="721"/>
      </w:pPr>
      <w:rPr>
        <w:rFonts w:hint="default"/>
        <w:b/>
        <w:bCs w:val="0"/>
        <w:i w:val="0"/>
        <w:iCs w:val="0"/>
        <w:w w:val="100"/>
        <w:sz w:val="24"/>
        <w:szCs w:val="24"/>
        <w:lang w:val="en-US" w:eastAsia="en-US" w:bidi="ar-SA"/>
      </w:rPr>
    </w:lvl>
    <w:lvl w:ilvl="1">
      <w:start w:val="1"/>
      <w:numFmt w:val="decimal"/>
      <w:pStyle w:val="2"/>
      <w:lvlText w:val="%1.%2"/>
      <w:lvlJc w:val="left"/>
      <w:pPr>
        <w:ind w:left="959" w:hanging="720"/>
      </w:pPr>
      <w:rPr>
        <w:rFonts w:hint="default"/>
        <w:b/>
        <w:bCs w:val="0"/>
        <w:i w:val="0"/>
        <w:iCs w:val="0"/>
        <w:spacing w:val="-1"/>
        <w:w w:val="100"/>
        <w:sz w:val="20"/>
        <w:szCs w:val="24"/>
        <w:lang w:val="en-US" w:eastAsia="en-US" w:bidi="ar-SA"/>
      </w:rPr>
    </w:lvl>
    <w:lvl w:ilvl="2">
      <w:start w:val="1"/>
      <w:numFmt w:val="decimal"/>
      <w:pStyle w:val="3"/>
      <w:lvlText w:val="%1.%2.%3"/>
      <w:lvlJc w:val="left"/>
      <w:pPr>
        <w:ind w:left="240" w:hanging="720"/>
      </w:pPr>
      <w:rPr>
        <w:rFonts w:hint="default"/>
        <w:b w:val="0"/>
        <w:bCs w:val="0"/>
        <w:i w:val="0"/>
        <w:iCs w:val="0"/>
        <w:w w:val="100"/>
        <w:sz w:val="20"/>
        <w:szCs w:val="24"/>
        <w:lang w:val="en-US" w:eastAsia="en-US" w:bidi="ar-SA"/>
      </w:rPr>
    </w:lvl>
    <w:lvl w:ilvl="3">
      <w:numFmt w:val="bullet"/>
      <w:lvlText w:val=""/>
      <w:lvlJc w:val="left"/>
      <w:pPr>
        <w:ind w:left="1320" w:hanging="720"/>
      </w:pPr>
      <w:rPr>
        <w:rFonts w:ascii="Symbol" w:eastAsia="Symbol" w:hAnsi="Symbol" w:cs="Symbol" w:hint="default"/>
        <w:b w:val="0"/>
        <w:bCs w:val="0"/>
        <w:i w:val="0"/>
        <w:iCs w:val="0"/>
        <w:w w:val="99"/>
        <w:sz w:val="22"/>
        <w:szCs w:val="22"/>
        <w:lang w:val="en-US" w:eastAsia="en-US" w:bidi="ar-SA"/>
      </w:rPr>
    </w:lvl>
    <w:lvl w:ilvl="4">
      <w:numFmt w:val="bullet"/>
      <w:lvlText w:val=""/>
      <w:lvlJc w:val="left"/>
      <w:pPr>
        <w:ind w:left="1320" w:hanging="720"/>
      </w:pPr>
      <w:rPr>
        <w:rFonts w:ascii="Symbol" w:eastAsia="Symbol" w:hAnsi="Symbol" w:cs="Symbol" w:hint="default"/>
        <w:b w:val="0"/>
        <w:bCs w:val="0"/>
        <w:i w:val="0"/>
        <w:iCs w:val="0"/>
        <w:w w:val="99"/>
        <w:sz w:val="22"/>
        <w:szCs w:val="22"/>
        <w:lang w:val="en-US" w:eastAsia="en-US" w:bidi="ar-SA"/>
      </w:rPr>
    </w:lvl>
    <w:lvl w:ilvl="5">
      <w:numFmt w:val="bullet"/>
      <w:lvlText w:val="•"/>
      <w:lvlJc w:val="left"/>
      <w:pPr>
        <w:ind w:left="1680" w:hanging="720"/>
      </w:pPr>
      <w:rPr>
        <w:rFonts w:hint="default"/>
        <w:lang w:val="en-US" w:eastAsia="en-US" w:bidi="ar-SA"/>
      </w:rPr>
    </w:lvl>
    <w:lvl w:ilvl="6">
      <w:numFmt w:val="bullet"/>
      <w:lvlText w:val="•"/>
      <w:lvlJc w:val="left"/>
      <w:pPr>
        <w:ind w:left="3328" w:hanging="720"/>
      </w:pPr>
      <w:rPr>
        <w:rFonts w:hint="default"/>
        <w:lang w:val="en-US" w:eastAsia="en-US" w:bidi="ar-SA"/>
      </w:rPr>
    </w:lvl>
    <w:lvl w:ilvl="7">
      <w:numFmt w:val="bullet"/>
      <w:lvlText w:val="•"/>
      <w:lvlJc w:val="left"/>
      <w:pPr>
        <w:ind w:left="4976" w:hanging="720"/>
      </w:pPr>
      <w:rPr>
        <w:rFonts w:hint="default"/>
        <w:lang w:val="en-US" w:eastAsia="en-US" w:bidi="ar-SA"/>
      </w:rPr>
    </w:lvl>
    <w:lvl w:ilvl="8">
      <w:numFmt w:val="bullet"/>
      <w:lvlText w:val="•"/>
      <w:lvlJc w:val="left"/>
      <w:pPr>
        <w:ind w:left="6624" w:hanging="720"/>
      </w:pPr>
      <w:rPr>
        <w:rFonts w:hint="default"/>
        <w:lang w:val="en-US" w:eastAsia="en-US" w:bidi="ar-SA"/>
      </w:rPr>
    </w:lvl>
  </w:abstractNum>
  <w:abstractNum w:abstractNumId="106" w15:restartNumberingAfterBreak="0">
    <w:nsid w:val="79EB7EAE"/>
    <w:multiLevelType w:val="hybridMultilevel"/>
    <w:tmpl w:val="14EABD9E"/>
    <w:lvl w:ilvl="0" w:tplc="09A8E0B8">
      <w:start w:val="1"/>
      <w:numFmt w:val="decimal"/>
      <w:lvlText w:val="(%1)"/>
      <w:lvlJc w:val="left"/>
      <w:pPr>
        <w:ind w:left="800" w:hanging="400"/>
      </w:pPr>
      <w:rPr>
        <w:rFonts w:asciiTheme="minorEastAsia" w:eastAsia="맑은 고딕" w:cs="Cambria" w:hint="default"/>
        <w:b w:val="0"/>
        <w:bCs w:val="0"/>
        <w:i w:val="0"/>
        <w:iCs w:val="0"/>
        <w:w w:val="100"/>
        <w:sz w:val="20"/>
        <w:szCs w:val="20"/>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7" w15:restartNumberingAfterBreak="0">
    <w:nsid w:val="7A097DC7"/>
    <w:multiLevelType w:val="hybridMultilevel"/>
    <w:tmpl w:val="44083A54"/>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8" w15:restartNumberingAfterBreak="0">
    <w:nsid w:val="7A584C16"/>
    <w:multiLevelType w:val="hybridMultilevel"/>
    <w:tmpl w:val="34808614"/>
    <w:lvl w:ilvl="0" w:tplc="049E6E96">
      <w:start w:val="1"/>
      <w:numFmt w:val="decimalFullWidth"/>
      <w:lvlText w:val="%1."/>
      <w:lvlJc w:val="left"/>
      <w:pPr>
        <w:ind w:left="1520" w:hanging="400"/>
      </w:pPr>
      <w:rPr>
        <w:rFont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109" w15:restartNumberingAfterBreak="0">
    <w:nsid w:val="7BA535B2"/>
    <w:multiLevelType w:val="hybridMultilevel"/>
    <w:tmpl w:val="3E2EC0C8"/>
    <w:lvl w:ilvl="0" w:tplc="24EAA278">
      <w:start w:val="1"/>
      <w:numFmt w:val="lowerLetter"/>
      <w:lvlText w:val="(%1)"/>
      <w:lvlJc w:val="left"/>
      <w:pPr>
        <w:ind w:left="800" w:hanging="400"/>
      </w:pPr>
      <w:rPr>
        <w:rFonts w:ascii="맑은 고딕" w:eastAsiaTheme="majorEastAsia" w:hAnsi="맑은 고딕" w:hint="eastAsia"/>
        <w:b w:val="0"/>
        <w:i w:val="0"/>
        <w:spacing w:val="0"/>
        <w:w w:val="100"/>
        <w:position w:val="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0" w15:restartNumberingAfterBreak="0">
    <w:nsid w:val="7CB75437"/>
    <w:multiLevelType w:val="hybridMultilevel"/>
    <w:tmpl w:val="0C601BB8"/>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1" w15:restartNumberingAfterBreak="0">
    <w:nsid w:val="7DF33105"/>
    <w:multiLevelType w:val="hybridMultilevel"/>
    <w:tmpl w:val="863AF2B2"/>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2" w15:restartNumberingAfterBreak="0">
    <w:nsid w:val="7E3B7460"/>
    <w:multiLevelType w:val="hybridMultilevel"/>
    <w:tmpl w:val="07F8EEB4"/>
    <w:lvl w:ilvl="0" w:tplc="33607342">
      <w:start w:val="1"/>
      <w:numFmt w:val="decimal"/>
      <w:lvlText w:val="(%1)"/>
      <w:lvlJc w:val="left"/>
      <w:pPr>
        <w:ind w:left="800" w:hanging="400"/>
      </w:pPr>
      <w:rPr>
        <w:rFonts w:asciiTheme="minorEastAsia" w:eastAsia="맑은 고딕" w:cs="Cambria" w:hint="default"/>
        <w:b w:val="0"/>
        <w:bCs w:val="0"/>
        <w:i w:val="0"/>
        <w:iCs w:val="0"/>
        <w:w w:val="92"/>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05"/>
  </w:num>
  <w:num w:numId="2">
    <w:abstractNumId w:val="80"/>
  </w:num>
  <w:num w:numId="3">
    <w:abstractNumId w:val="49"/>
  </w:num>
  <w:num w:numId="4">
    <w:abstractNumId w:val="13"/>
  </w:num>
  <w:num w:numId="5">
    <w:abstractNumId w:val="18"/>
  </w:num>
  <w:num w:numId="6">
    <w:abstractNumId w:val="70"/>
  </w:num>
  <w:num w:numId="7">
    <w:abstractNumId w:val="10"/>
  </w:num>
  <w:num w:numId="8">
    <w:abstractNumId w:val="57"/>
  </w:num>
  <w:num w:numId="9">
    <w:abstractNumId w:val="97"/>
  </w:num>
  <w:num w:numId="10">
    <w:abstractNumId w:val="17"/>
  </w:num>
  <w:num w:numId="11">
    <w:abstractNumId w:val="87"/>
  </w:num>
  <w:num w:numId="12">
    <w:abstractNumId w:val="2"/>
  </w:num>
  <w:num w:numId="13">
    <w:abstractNumId w:val="30"/>
  </w:num>
  <w:num w:numId="14">
    <w:abstractNumId w:val="61"/>
  </w:num>
  <w:num w:numId="15">
    <w:abstractNumId w:val="46"/>
  </w:num>
  <w:num w:numId="16">
    <w:abstractNumId w:val="11"/>
  </w:num>
  <w:num w:numId="17">
    <w:abstractNumId w:val="33"/>
  </w:num>
  <w:num w:numId="18">
    <w:abstractNumId w:val="79"/>
  </w:num>
  <w:num w:numId="19">
    <w:abstractNumId w:val="58"/>
  </w:num>
  <w:num w:numId="20">
    <w:abstractNumId w:val="83"/>
  </w:num>
  <w:num w:numId="21">
    <w:abstractNumId w:val="90"/>
  </w:num>
  <w:num w:numId="22">
    <w:abstractNumId w:val="9"/>
  </w:num>
  <w:num w:numId="23">
    <w:abstractNumId w:val="42"/>
  </w:num>
  <w:num w:numId="24">
    <w:abstractNumId w:val="19"/>
  </w:num>
  <w:num w:numId="25">
    <w:abstractNumId w:val="29"/>
  </w:num>
  <w:num w:numId="26">
    <w:abstractNumId w:val="93"/>
  </w:num>
  <w:num w:numId="27">
    <w:abstractNumId w:val="65"/>
  </w:num>
  <w:num w:numId="28">
    <w:abstractNumId w:val="34"/>
  </w:num>
  <w:num w:numId="29">
    <w:abstractNumId w:val="67"/>
  </w:num>
  <w:num w:numId="30">
    <w:abstractNumId w:val="56"/>
  </w:num>
  <w:num w:numId="31">
    <w:abstractNumId w:val="53"/>
  </w:num>
  <w:num w:numId="32">
    <w:abstractNumId w:val="21"/>
  </w:num>
  <w:num w:numId="33">
    <w:abstractNumId w:val="108"/>
  </w:num>
  <w:num w:numId="34">
    <w:abstractNumId w:val="109"/>
  </w:num>
  <w:num w:numId="35">
    <w:abstractNumId w:val="22"/>
  </w:num>
  <w:num w:numId="36">
    <w:abstractNumId w:val="62"/>
  </w:num>
  <w:num w:numId="37">
    <w:abstractNumId w:val="101"/>
  </w:num>
  <w:num w:numId="38">
    <w:abstractNumId w:val="51"/>
  </w:num>
  <w:num w:numId="39">
    <w:abstractNumId w:val="77"/>
  </w:num>
  <w:num w:numId="40">
    <w:abstractNumId w:val="111"/>
  </w:num>
  <w:num w:numId="41">
    <w:abstractNumId w:val="81"/>
  </w:num>
  <w:num w:numId="42">
    <w:abstractNumId w:val="36"/>
  </w:num>
  <w:num w:numId="43">
    <w:abstractNumId w:val="47"/>
  </w:num>
  <w:num w:numId="44">
    <w:abstractNumId w:val="63"/>
  </w:num>
  <w:num w:numId="45">
    <w:abstractNumId w:val="107"/>
  </w:num>
  <w:num w:numId="46">
    <w:abstractNumId w:val="78"/>
  </w:num>
  <w:num w:numId="47">
    <w:abstractNumId w:val="52"/>
  </w:num>
  <w:num w:numId="48">
    <w:abstractNumId w:val="12"/>
  </w:num>
  <w:num w:numId="49">
    <w:abstractNumId w:val="50"/>
  </w:num>
  <w:num w:numId="50">
    <w:abstractNumId w:val="43"/>
  </w:num>
  <w:num w:numId="51">
    <w:abstractNumId w:val="100"/>
  </w:num>
  <w:num w:numId="52">
    <w:abstractNumId w:val="110"/>
  </w:num>
  <w:num w:numId="53">
    <w:abstractNumId w:val="44"/>
  </w:num>
  <w:num w:numId="54">
    <w:abstractNumId w:val="96"/>
  </w:num>
  <w:num w:numId="55">
    <w:abstractNumId w:val="102"/>
  </w:num>
  <w:num w:numId="56">
    <w:abstractNumId w:val="54"/>
  </w:num>
  <w:num w:numId="57">
    <w:abstractNumId w:val="0"/>
  </w:num>
  <w:num w:numId="58">
    <w:abstractNumId w:val="45"/>
  </w:num>
  <w:num w:numId="59">
    <w:abstractNumId w:val="92"/>
  </w:num>
  <w:num w:numId="60">
    <w:abstractNumId w:val="74"/>
  </w:num>
  <w:num w:numId="61">
    <w:abstractNumId w:val="26"/>
  </w:num>
  <w:num w:numId="62">
    <w:abstractNumId w:val="103"/>
  </w:num>
  <w:num w:numId="63">
    <w:abstractNumId w:val="37"/>
  </w:num>
  <w:num w:numId="64">
    <w:abstractNumId w:val="106"/>
  </w:num>
  <w:num w:numId="65">
    <w:abstractNumId w:val="72"/>
  </w:num>
  <w:num w:numId="66">
    <w:abstractNumId w:val="40"/>
  </w:num>
  <w:num w:numId="67">
    <w:abstractNumId w:val="25"/>
  </w:num>
  <w:num w:numId="68">
    <w:abstractNumId w:val="24"/>
  </w:num>
  <w:num w:numId="69">
    <w:abstractNumId w:val="73"/>
  </w:num>
  <w:num w:numId="70">
    <w:abstractNumId w:val="32"/>
  </w:num>
  <w:num w:numId="71">
    <w:abstractNumId w:val="84"/>
  </w:num>
  <w:num w:numId="72">
    <w:abstractNumId w:val="99"/>
  </w:num>
  <w:num w:numId="73">
    <w:abstractNumId w:val="91"/>
  </w:num>
  <w:num w:numId="74">
    <w:abstractNumId w:val="27"/>
  </w:num>
  <w:num w:numId="75">
    <w:abstractNumId w:val="5"/>
  </w:num>
  <w:num w:numId="76">
    <w:abstractNumId w:val="69"/>
  </w:num>
  <w:num w:numId="77">
    <w:abstractNumId w:val="14"/>
  </w:num>
  <w:num w:numId="78">
    <w:abstractNumId w:val="66"/>
  </w:num>
  <w:num w:numId="79">
    <w:abstractNumId w:val="8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0">
    <w:abstractNumId w:val="1"/>
    <w:lvlOverride w:ilvl="0">
      <w:startOverride w:val="1"/>
    </w:lvlOverride>
    <w:lvlOverride w:ilvl="1"/>
    <w:lvlOverride w:ilvl="2"/>
    <w:lvlOverride w:ilvl="3"/>
    <w:lvlOverride w:ilvl="4"/>
    <w:lvlOverride w:ilvl="5"/>
    <w:lvlOverride w:ilvl="6"/>
    <w:lvlOverride w:ilvl="7"/>
    <w:lvlOverride w:ilvl="8"/>
  </w:num>
  <w:num w:numId="81">
    <w:abstractNumId w:val="15"/>
    <w:lvlOverride w:ilvl="0">
      <w:startOverride w:val="1"/>
    </w:lvlOverride>
    <w:lvlOverride w:ilvl="1"/>
    <w:lvlOverride w:ilvl="2"/>
    <w:lvlOverride w:ilvl="3"/>
    <w:lvlOverride w:ilvl="4"/>
    <w:lvlOverride w:ilvl="5"/>
    <w:lvlOverride w:ilvl="6"/>
    <w:lvlOverride w:ilvl="7"/>
    <w:lvlOverride w:ilvl="8"/>
  </w:num>
  <w:num w:numId="82">
    <w:abstractNumId w:val="71"/>
  </w:num>
  <w:num w:numId="83">
    <w:abstractNumId w:val="112"/>
  </w:num>
  <w:num w:numId="84">
    <w:abstractNumId w:val="7"/>
  </w:num>
  <w:num w:numId="85">
    <w:abstractNumId w:val="82"/>
  </w:num>
  <w:num w:numId="86">
    <w:abstractNumId w:val="55"/>
  </w:num>
  <w:num w:numId="87">
    <w:abstractNumId w:val="23"/>
  </w:num>
  <w:num w:numId="88">
    <w:abstractNumId w:val="31"/>
  </w:num>
  <w:num w:numId="89">
    <w:abstractNumId w:val="59"/>
  </w:num>
  <w:num w:numId="90">
    <w:abstractNumId w:val="3"/>
  </w:num>
  <w:num w:numId="91">
    <w:abstractNumId w:val="89"/>
  </w:num>
  <w:num w:numId="92">
    <w:abstractNumId w:val="88"/>
  </w:num>
  <w:num w:numId="93">
    <w:abstractNumId w:val="75"/>
  </w:num>
  <w:num w:numId="94">
    <w:abstractNumId w:val="39"/>
  </w:num>
  <w:num w:numId="95">
    <w:abstractNumId w:val="20"/>
  </w:num>
  <w:num w:numId="96">
    <w:abstractNumId w:val="48"/>
  </w:num>
  <w:num w:numId="97">
    <w:abstractNumId w:val="64"/>
  </w:num>
  <w:num w:numId="98">
    <w:abstractNumId w:val="94"/>
  </w:num>
  <w:num w:numId="99">
    <w:abstractNumId w:val="41"/>
  </w:num>
  <w:num w:numId="100">
    <w:abstractNumId w:val="4"/>
  </w:num>
  <w:num w:numId="101">
    <w:abstractNumId w:val="16"/>
  </w:num>
  <w:num w:numId="102">
    <w:abstractNumId w:val="95"/>
  </w:num>
  <w:num w:numId="103">
    <w:abstractNumId w:val="6"/>
  </w:num>
  <w:num w:numId="104">
    <w:abstractNumId w:val="28"/>
  </w:num>
  <w:num w:numId="105">
    <w:abstractNumId w:val="76"/>
  </w:num>
  <w:num w:numId="106">
    <w:abstractNumId w:val="60"/>
  </w:num>
  <w:num w:numId="107">
    <w:abstractNumId w:val="8"/>
  </w:num>
  <w:num w:numId="108">
    <w:abstractNumId w:val="68"/>
  </w:num>
  <w:num w:numId="109">
    <w:abstractNumId w:val="98"/>
  </w:num>
  <w:num w:numId="110">
    <w:abstractNumId w:val="35"/>
  </w:num>
  <w:num w:numId="111">
    <w:abstractNumId w:val="38"/>
  </w:num>
  <w:num w:numId="112">
    <w:abstractNumId w:val="86"/>
  </w:num>
  <w:num w:numId="113">
    <w:abstractNumId w:val="10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proofState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713"/>
    <w:rsid w:val="000210DE"/>
    <w:rsid w:val="00025CC5"/>
    <w:rsid w:val="00026B00"/>
    <w:rsid w:val="00030079"/>
    <w:rsid w:val="00064F79"/>
    <w:rsid w:val="000757C4"/>
    <w:rsid w:val="00075D7F"/>
    <w:rsid w:val="00081921"/>
    <w:rsid w:val="00093AD8"/>
    <w:rsid w:val="00096447"/>
    <w:rsid w:val="000A188E"/>
    <w:rsid w:val="000A6063"/>
    <w:rsid w:val="000D5A86"/>
    <w:rsid w:val="000E20D8"/>
    <w:rsid w:val="000F0A3D"/>
    <w:rsid w:val="000F6AF4"/>
    <w:rsid w:val="001100E0"/>
    <w:rsid w:val="001123AC"/>
    <w:rsid w:val="00112A1B"/>
    <w:rsid w:val="001307B8"/>
    <w:rsid w:val="001322FD"/>
    <w:rsid w:val="0014084F"/>
    <w:rsid w:val="00143D47"/>
    <w:rsid w:val="00145039"/>
    <w:rsid w:val="00150BA5"/>
    <w:rsid w:val="00151D49"/>
    <w:rsid w:val="00152AD7"/>
    <w:rsid w:val="00160DDA"/>
    <w:rsid w:val="00161055"/>
    <w:rsid w:val="00165DB9"/>
    <w:rsid w:val="00175B90"/>
    <w:rsid w:val="001A0713"/>
    <w:rsid w:val="001A22C9"/>
    <w:rsid w:val="001B18A3"/>
    <w:rsid w:val="001B5FCB"/>
    <w:rsid w:val="001D4979"/>
    <w:rsid w:val="001E0073"/>
    <w:rsid w:val="001F6A67"/>
    <w:rsid w:val="002006CC"/>
    <w:rsid w:val="00202E63"/>
    <w:rsid w:val="00234C23"/>
    <w:rsid w:val="00235BFC"/>
    <w:rsid w:val="0023769C"/>
    <w:rsid w:val="00276281"/>
    <w:rsid w:val="00281CC2"/>
    <w:rsid w:val="00290B13"/>
    <w:rsid w:val="002944DB"/>
    <w:rsid w:val="002A30A0"/>
    <w:rsid w:val="002B2753"/>
    <w:rsid w:val="002C0B37"/>
    <w:rsid w:val="002C531C"/>
    <w:rsid w:val="002C5FA0"/>
    <w:rsid w:val="002C7F14"/>
    <w:rsid w:val="002D6B4E"/>
    <w:rsid w:val="002E19E0"/>
    <w:rsid w:val="00300A7A"/>
    <w:rsid w:val="0030232A"/>
    <w:rsid w:val="00310FAF"/>
    <w:rsid w:val="00312238"/>
    <w:rsid w:val="0031798B"/>
    <w:rsid w:val="003343D0"/>
    <w:rsid w:val="00334E97"/>
    <w:rsid w:val="00335522"/>
    <w:rsid w:val="00350E00"/>
    <w:rsid w:val="003618BE"/>
    <w:rsid w:val="003630A1"/>
    <w:rsid w:val="00371D90"/>
    <w:rsid w:val="0037270F"/>
    <w:rsid w:val="003745C1"/>
    <w:rsid w:val="00377CAC"/>
    <w:rsid w:val="0038093C"/>
    <w:rsid w:val="00381F65"/>
    <w:rsid w:val="003A1F77"/>
    <w:rsid w:val="003B0D86"/>
    <w:rsid w:val="003B279D"/>
    <w:rsid w:val="003B3606"/>
    <w:rsid w:val="003B394A"/>
    <w:rsid w:val="003C5F02"/>
    <w:rsid w:val="003C7B3F"/>
    <w:rsid w:val="003D6BF5"/>
    <w:rsid w:val="003F14F5"/>
    <w:rsid w:val="00402BCD"/>
    <w:rsid w:val="004117D0"/>
    <w:rsid w:val="00416A48"/>
    <w:rsid w:val="0042126C"/>
    <w:rsid w:val="00421B7B"/>
    <w:rsid w:val="00422924"/>
    <w:rsid w:val="00441C27"/>
    <w:rsid w:val="00447FF6"/>
    <w:rsid w:val="00456E2A"/>
    <w:rsid w:val="00484449"/>
    <w:rsid w:val="00484FC9"/>
    <w:rsid w:val="00490A7A"/>
    <w:rsid w:val="004B6B9A"/>
    <w:rsid w:val="004C012A"/>
    <w:rsid w:val="004C1667"/>
    <w:rsid w:val="004C4275"/>
    <w:rsid w:val="004D7613"/>
    <w:rsid w:val="004E0A20"/>
    <w:rsid w:val="004E0CF4"/>
    <w:rsid w:val="004E3AE2"/>
    <w:rsid w:val="004E61D6"/>
    <w:rsid w:val="004F353A"/>
    <w:rsid w:val="004F788B"/>
    <w:rsid w:val="00500753"/>
    <w:rsid w:val="00531657"/>
    <w:rsid w:val="00532140"/>
    <w:rsid w:val="00535E4D"/>
    <w:rsid w:val="00546E98"/>
    <w:rsid w:val="00547BAE"/>
    <w:rsid w:val="00556E5F"/>
    <w:rsid w:val="00563E28"/>
    <w:rsid w:val="00571BE1"/>
    <w:rsid w:val="0059514C"/>
    <w:rsid w:val="005A2A26"/>
    <w:rsid w:val="005A7316"/>
    <w:rsid w:val="005C0832"/>
    <w:rsid w:val="005D2EAC"/>
    <w:rsid w:val="005D6AB1"/>
    <w:rsid w:val="00603BCD"/>
    <w:rsid w:val="006115E6"/>
    <w:rsid w:val="0063516C"/>
    <w:rsid w:val="0063702B"/>
    <w:rsid w:val="00650819"/>
    <w:rsid w:val="00655505"/>
    <w:rsid w:val="0068751E"/>
    <w:rsid w:val="006A0A61"/>
    <w:rsid w:val="006B41D1"/>
    <w:rsid w:val="006C0FB3"/>
    <w:rsid w:val="006C3529"/>
    <w:rsid w:val="006C482A"/>
    <w:rsid w:val="006D0C41"/>
    <w:rsid w:val="006F1819"/>
    <w:rsid w:val="006F593B"/>
    <w:rsid w:val="006F7BD2"/>
    <w:rsid w:val="00706E4D"/>
    <w:rsid w:val="00710874"/>
    <w:rsid w:val="00716399"/>
    <w:rsid w:val="007277BC"/>
    <w:rsid w:val="0073673C"/>
    <w:rsid w:val="00744E39"/>
    <w:rsid w:val="00766BDF"/>
    <w:rsid w:val="00767EC2"/>
    <w:rsid w:val="00771A4F"/>
    <w:rsid w:val="00794705"/>
    <w:rsid w:val="00796496"/>
    <w:rsid w:val="007B1CE7"/>
    <w:rsid w:val="007B20DD"/>
    <w:rsid w:val="007B3638"/>
    <w:rsid w:val="00814985"/>
    <w:rsid w:val="00833D4B"/>
    <w:rsid w:val="008405EE"/>
    <w:rsid w:val="00884E57"/>
    <w:rsid w:val="00886739"/>
    <w:rsid w:val="008A6F5E"/>
    <w:rsid w:val="008B322D"/>
    <w:rsid w:val="008B5544"/>
    <w:rsid w:val="008C7286"/>
    <w:rsid w:val="008D11CD"/>
    <w:rsid w:val="008D3177"/>
    <w:rsid w:val="008E4E2D"/>
    <w:rsid w:val="008E7222"/>
    <w:rsid w:val="008F3345"/>
    <w:rsid w:val="008F5D1C"/>
    <w:rsid w:val="00912441"/>
    <w:rsid w:val="00914871"/>
    <w:rsid w:val="009320A4"/>
    <w:rsid w:val="0096612E"/>
    <w:rsid w:val="00971C65"/>
    <w:rsid w:val="009727CD"/>
    <w:rsid w:val="0099027A"/>
    <w:rsid w:val="00995FAF"/>
    <w:rsid w:val="009D1550"/>
    <w:rsid w:val="009E62DE"/>
    <w:rsid w:val="00A111F6"/>
    <w:rsid w:val="00A33DD7"/>
    <w:rsid w:val="00A344CB"/>
    <w:rsid w:val="00A70C97"/>
    <w:rsid w:val="00A70E58"/>
    <w:rsid w:val="00A814AD"/>
    <w:rsid w:val="00A82B5C"/>
    <w:rsid w:val="00A85CDD"/>
    <w:rsid w:val="00A9131F"/>
    <w:rsid w:val="00A91EC2"/>
    <w:rsid w:val="00A924A4"/>
    <w:rsid w:val="00AA1766"/>
    <w:rsid w:val="00AA3979"/>
    <w:rsid w:val="00AA750B"/>
    <w:rsid w:val="00AC629F"/>
    <w:rsid w:val="00AE4B5B"/>
    <w:rsid w:val="00AE7DDD"/>
    <w:rsid w:val="00AF1D17"/>
    <w:rsid w:val="00B07B6F"/>
    <w:rsid w:val="00B33A77"/>
    <w:rsid w:val="00B354A1"/>
    <w:rsid w:val="00B37AB0"/>
    <w:rsid w:val="00B439EE"/>
    <w:rsid w:val="00B46D35"/>
    <w:rsid w:val="00B5768B"/>
    <w:rsid w:val="00B6692F"/>
    <w:rsid w:val="00B82C66"/>
    <w:rsid w:val="00BA69E8"/>
    <w:rsid w:val="00BB14D1"/>
    <w:rsid w:val="00BC5259"/>
    <w:rsid w:val="00BC6BB5"/>
    <w:rsid w:val="00BC78FA"/>
    <w:rsid w:val="00BC7CE3"/>
    <w:rsid w:val="00BD48A1"/>
    <w:rsid w:val="00BD4CB1"/>
    <w:rsid w:val="00BE5540"/>
    <w:rsid w:val="00BE6447"/>
    <w:rsid w:val="00BE7B0F"/>
    <w:rsid w:val="00BF00EA"/>
    <w:rsid w:val="00BF7DA9"/>
    <w:rsid w:val="00C003BB"/>
    <w:rsid w:val="00C074B2"/>
    <w:rsid w:val="00C1239A"/>
    <w:rsid w:val="00C2007A"/>
    <w:rsid w:val="00C334DB"/>
    <w:rsid w:val="00C37146"/>
    <w:rsid w:val="00C47E11"/>
    <w:rsid w:val="00C54609"/>
    <w:rsid w:val="00C54BEE"/>
    <w:rsid w:val="00C60D57"/>
    <w:rsid w:val="00C701CF"/>
    <w:rsid w:val="00C74C5C"/>
    <w:rsid w:val="00C74CCC"/>
    <w:rsid w:val="00C77C46"/>
    <w:rsid w:val="00C8240F"/>
    <w:rsid w:val="00C91E73"/>
    <w:rsid w:val="00C95E04"/>
    <w:rsid w:val="00CA2165"/>
    <w:rsid w:val="00CB660F"/>
    <w:rsid w:val="00CC38BA"/>
    <w:rsid w:val="00CC4A08"/>
    <w:rsid w:val="00CD4E87"/>
    <w:rsid w:val="00CF24D5"/>
    <w:rsid w:val="00D00195"/>
    <w:rsid w:val="00D06E76"/>
    <w:rsid w:val="00D14F24"/>
    <w:rsid w:val="00D2266B"/>
    <w:rsid w:val="00D30250"/>
    <w:rsid w:val="00D52BAF"/>
    <w:rsid w:val="00D82F37"/>
    <w:rsid w:val="00D978E8"/>
    <w:rsid w:val="00DC3B76"/>
    <w:rsid w:val="00DC5582"/>
    <w:rsid w:val="00DF49D1"/>
    <w:rsid w:val="00DF70D1"/>
    <w:rsid w:val="00E00EEF"/>
    <w:rsid w:val="00E14F1A"/>
    <w:rsid w:val="00E2077B"/>
    <w:rsid w:val="00E25EBB"/>
    <w:rsid w:val="00E359C4"/>
    <w:rsid w:val="00E432DA"/>
    <w:rsid w:val="00E56B26"/>
    <w:rsid w:val="00E716C4"/>
    <w:rsid w:val="00E723DF"/>
    <w:rsid w:val="00EA7940"/>
    <w:rsid w:val="00EC07EE"/>
    <w:rsid w:val="00EC3CD4"/>
    <w:rsid w:val="00EC4BD5"/>
    <w:rsid w:val="00EF1354"/>
    <w:rsid w:val="00EF3C06"/>
    <w:rsid w:val="00EF791F"/>
    <w:rsid w:val="00F02869"/>
    <w:rsid w:val="00F23BCA"/>
    <w:rsid w:val="00F27C18"/>
    <w:rsid w:val="00F27E44"/>
    <w:rsid w:val="00F42088"/>
    <w:rsid w:val="00F42989"/>
    <w:rsid w:val="00F56D41"/>
    <w:rsid w:val="00F92071"/>
    <w:rsid w:val="00FA0CBB"/>
    <w:rsid w:val="00FA0DE5"/>
    <w:rsid w:val="00FA59B2"/>
    <w:rsid w:val="00FC17FE"/>
    <w:rsid w:val="00FD015B"/>
    <w:rsid w:val="00FD1D11"/>
    <w:rsid w:val="00FE1DA4"/>
    <w:rsid w:val="00FE1DEE"/>
    <w:rsid w:val="00FE588B"/>
    <w:rsid w:val="00FF0D0B"/>
    <w:rsid w:val="00FF593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B93CC2"/>
  <w15:docId w15:val="{456F330A-7EED-4F56-B594-F5D481EF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41D1"/>
    <w:pPr>
      <w:widowControl w:val="0"/>
      <w:autoSpaceDE w:val="0"/>
      <w:autoSpaceDN w:val="0"/>
      <w:spacing w:after="0" w:line="240" w:lineRule="auto"/>
      <w:jc w:val="left"/>
    </w:pPr>
    <w:rPr>
      <w:rFonts w:ascii="Times New Roman" w:eastAsia="Times New Roman" w:hAnsi="Times New Roman" w:cs="Times New Roman"/>
      <w:kern w:val="0"/>
      <w:sz w:val="22"/>
      <w:lang w:eastAsia="en-US"/>
    </w:rPr>
  </w:style>
  <w:style w:type="paragraph" w:styleId="1">
    <w:name w:val="heading 1"/>
    <w:basedOn w:val="a"/>
    <w:next w:val="a"/>
    <w:link w:val="1Char"/>
    <w:uiPriority w:val="9"/>
    <w:qFormat/>
    <w:rsid w:val="00C77C46"/>
    <w:pPr>
      <w:keepNext/>
      <w:outlineLvl w:val="0"/>
    </w:pPr>
    <w:rPr>
      <w:rFonts w:asciiTheme="majorHAnsi" w:eastAsiaTheme="majorEastAsia" w:hAnsiTheme="majorHAnsi" w:cstheme="majorBidi"/>
      <w:sz w:val="28"/>
      <w:szCs w:val="28"/>
    </w:rPr>
  </w:style>
  <w:style w:type="paragraph" w:styleId="20">
    <w:name w:val="heading 2"/>
    <w:basedOn w:val="a"/>
    <w:link w:val="2Char"/>
    <w:uiPriority w:val="9"/>
    <w:unhideWhenUsed/>
    <w:qFormat/>
    <w:rsid w:val="008405EE"/>
    <w:pPr>
      <w:ind w:left="959" w:hanging="720"/>
      <w:outlineLvl w:val="1"/>
    </w:pPr>
    <w:rPr>
      <w:rFonts w:ascii="Arial" w:eastAsia="Arial" w:hAnsi="Arial" w:cs="Arial"/>
      <w:b/>
      <w:bCs/>
      <w:sz w:val="24"/>
      <w:szCs w:val="24"/>
    </w:rPr>
  </w:style>
  <w:style w:type="paragraph" w:styleId="30">
    <w:name w:val="heading 3"/>
    <w:basedOn w:val="a"/>
    <w:next w:val="a"/>
    <w:link w:val="3Char"/>
    <w:uiPriority w:val="9"/>
    <w:unhideWhenUsed/>
    <w:qFormat/>
    <w:rsid w:val="00064F79"/>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semiHidden/>
    <w:unhideWhenUsed/>
    <w:qFormat/>
    <w:rsid w:val="00C77C46"/>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C77C46"/>
    <w:rPr>
      <w:rFonts w:asciiTheme="majorHAnsi" w:eastAsiaTheme="majorEastAsia" w:hAnsiTheme="majorHAnsi" w:cstheme="majorBidi"/>
      <w:sz w:val="28"/>
      <w:szCs w:val="28"/>
    </w:rPr>
  </w:style>
  <w:style w:type="character" w:customStyle="1" w:styleId="2Char">
    <w:name w:val="제목 2 Char"/>
    <w:basedOn w:val="a0"/>
    <w:link w:val="20"/>
    <w:uiPriority w:val="9"/>
    <w:rsid w:val="008405EE"/>
    <w:rPr>
      <w:rFonts w:ascii="Arial" w:eastAsia="Arial" w:hAnsi="Arial" w:cs="Arial"/>
      <w:b/>
      <w:bCs/>
      <w:kern w:val="0"/>
      <w:sz w:val="24"/>
      <w:szCs w:val="24"/>
      <w:lang w:eastAsia="en-US"/>
    </w:rPr>
  </w:style>
  <w:style w:type="character" w:customStyle="1" w:styleId="3Char">
    <w:name w:val="제목 3 Char"/>
    <w:basedOn w:val="a0"/>
    <w:link w:val="30"/>
    <w:uiPriority w:val="9"/>
    <w:rsid w:val="00064F79"/>
    <w:rPr>
      <w:rFonts w:asciiTheme="majorHAnsi" w:eastAsiaTheme="majorEastAsia" w:hAnsiTheme="majorHAnsi" w:cstheme="majorBidi"/>
    </w:rPr>
  </w:style>
  <w:style w:type="character" w:customStyle="1" w:styleId="4Char">
    <w:name w:val="제목 4 Char"/>
    <w:basedOn w:val="a0"/>
    <w:link w:val="4"/>
    <w:uiPriority w:val="9"/>
    <w:semiHidden/>
    <w:rsid w:val="00C77C46"/>
    <w:rPr>
      <w:b/>
      <w:bCs/>
    </w:rPr>
  </w:style>
  <w:style w:type="table" w:styleId="a3">
    <w:name w:val="Table Grid"/>
    <w:basedOn w:val="a1"/>
    <w:uiPriority w:val="39"/>
    <w:rsid w:val="003C5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C5F02"/>
    <w:pPr>
      <w:tabs>
        <w:tab w:val="center" w:pos="4513"/>
        <w:tab w:val="right" w:pos="9026"/>
      </w:tabs>
      <w:snapToGrid w:val="0"/>
    </w:pPr>
  </w:style>
  <w:style w:type="character" w:customStyle="1" w:styleId="Char">
    <w:name w:val="머리글 Char"/>
    <w:basedOn w:val="a0"/>
    <w:link w:val="a4"/>
    <w:uiPriority w:val="99"/>
    <w:rsid w:val="003C5F02"/>
  </w:style>
  <w:style w:type="paragraph" w:styleId="a5">
    <w:name w:val="footer"/>
    <w:basedOn w:val="a"/>
    <w:link w:val="Char0"/>
    <w:uiPriority w:val="99"/>
    <w:unhideWhenUsed/>
    <w:rsid w:val="003C5F02"/>
    <w:pPr>
      <w:tabs>
        <w:tab w:val="center" w:pos="4513"/>
        <w:tab w:val="right" w:pos="9026"/>
      </w:tabs>
      <w:snapToGrid w:val="0"/>
    </w:pPr>
  </w:style>
  <w:style w:type="character" w:customStyle="1" w:styleId="Char0">
    <w:name w:val="바닥글 Char"/>
    <w:basedOn w:val="a0"/>
    <w:link w:val="a5"/>
    <w:uiPriority w:val="99"/>
    <w:rsid w:val="003C5F02"/>
  </w:style>
  <w:style w:type="paragraph" w:styleId="a6">
    <w:name w:val="footnote text"/>
    <w:basedOn w:val="a"/>
    <w:link w:val="Char1"/>
    <w:uiPriority w:val="99"/>
    <w:semiHidden/>
    <w:unhideWhenUsed/>
    <w:rsid w:val="00FF0D0B"/>
    <w:pPr>
      <w:snapToGrid w:val="0"/>
    </w:pPr>
  </w:style>
  <w:style w:type="character" w:customStyle="1" w:styleId="Char1">
    <w:name w:val="각주 텍스트 Char"/>
    <w:basedOn w:val="a0"/>
    <w:link w:val="a6"/>
    <w:uiPriority w:val="99"/>
    <w:semiHidden/>
    <w:rsid w:val="00FF0D0B"/>
  </w:style>
  <w:style w:type="character" w:styleId="a7">
    <w:name w:val="footnote reference"/>
    <w:basedOn w:val="a0"/>
    <w:uiPriority w:val="99"/>
    <w:semiHidden/>
    <w:unhideWhenUsed/>
    <w:rsid w:val="00FF0D0B"/>
    <w:rPr>
      <w:vertAlign w:val="superscript"/>
    </w:rPr>
  </w:style>
  <w:style w:type="paragraph" w:styleId="a8">
    <w:name w:val="List Paragraph"/>
    <w:basedOn w:val="a"/>
    <w:link w:val="Char2"/>
    <w:uiPriority w:val="1"/>
    <w:qFormat/>
    <w:rsid w:val="00FF0D0B"/>
    <w:pPr>
      <w:ind w:leftChars="400" w:left="800"/>
    </w:pPr>
  </w:style>
  <w:style w:type="character" w:customStyle="1" w:styleId="Char2">
    <w:name w:val="목록 단락 Char"/>
    <w:basedOn w:val="a0"/>
    <w:link w:val="a8"/>
    <w:uiPriority w:val="34"/>
    <w:rsid w:val="00F92071"/>
  </w:style>
  <w:style w:type="paragraph" w:customStyle="1" w:styleId="TableParagraph">
    <w:name w:val="Table Paragraph"/>
    <w:basedOn w:val="a"/>
    <w:uiPriority w:val="1"/>
    <w:qFormat/>
    <w:rsid w:val="00B5768B"/>
    <w:pPr>
      <w:ind w:left="107"/>
    </w:pPr>
    <w:rPr>
      <w:rFonts w:ascii="Arial" w:eastAsia="Arial" w:hAnsi="Arial" w:cs="Arial"/>
    </w:rPr>
  </w:style>
  <w:style w:type="table" w:customStyle="1" w:styleId="TableNormal">
    <w:name w:val="Table Normal"/>
    <w:uiPriority w:val="2"/>
    <w:semiHidden/>
    <w:qFormat/>
    <w:rsid w:val="00B5768B"/>
    <w:pPr>
      <w:widowControl w:val="0"/>
      <w:autoSpaceDE w:val="0"/>
      <w:autoSpaceDN w:val="0"/>
      <w:spacing w:after="0" w:line="240" w:lineRule="auto"/>
      <w:jc w:val="left"/>
    </w:pPr>
    <w:rPr>
      <w:rFonts w:eastAsia="Times New Roman"/>
      <w:kern w:val="0"/>
      <w:sz w:val="22"/>
      <w:lang w:eastAsia="en-US"/>
    </w:rPr>
    <w:tblPr>
      <w:tblCellMar>
        <w:top w:w="0" w:type="dxa"/>
        <w:left w:w="0" w:type="dxa"/>
        <w:bottom w:w="0" w:type="dxa"/>
        <w:right w:w="0" w:type="dxa"/>
      </w:tblCellMar>
    </w:tblPr>
  </w:style>
  <w:style w:type="paragraph" w:customStyle="1" w:styleId="10">
    <w:name w:val="목차 제목 1"/>
    <w:basedOn w:val="a8"/>
    <w:link w:val="1Char0"/>
    <w:qFormat/>
    <w:rsid w:val="00F92071"/>
    <w:pPr>
      <w:ind w:leftChars="0" w:left="0"/>
    </w:pPr>
    <w:rPr>
      <w:b/>
      <w:sz w:val="24"/>
    </w:rPr>
  </w:style>
  <w:style w:type="character" w:customStyle="1" w:styleId="1Char0">
    <w:name w:val="목차 제목 1 Char"/>
    <w:basedOn w:val="Char2"/>
    <w:link w:val="10"/>
    <w:rsid w:val="00F92071"/>
    <w:rPr>
      <w:b/>
      <w:sz w:val="24"/>
    </w:rPr>
  </w:style>
  <w:style w:type="paragraph" w:customStyle="1" w:styleId="2">
    <w:name w:val="목차 제목 2"/>
    <w:basedOn w:val="10"/>
    <w:link w:val="2Char0"/>
    <w:qFormat/>
    <w:rsid w:val="00234C23"/>
    <w:pPr>
      <w:numPr>
        <w:ilvl w:val="1"/>
        <w:numId w:val="1"/>
      </w:numPr>
    </w:pPr>
    <w:rPr>
      <w:sz w:val="20"/>
    </w:rPr>
  </w:style>
  <w:style w:type="character" w:customStyle="1" w:styleId="2Char0">
    <w:name w:val="목차 제목 2 Char"/>
    <w:basedOn w:val="Char2"/>
    <w:link w:val="2"/>
    <w:rsid w:val="00234C23"/>
    <w:rPr>
      <w:rFonts w:ascii="Times New Roman" w:eastAsia="Times New Roman" w:hAnsi="Times New Roman" w:cs="Times New Roman"/>
      <w:b/>
      <w:kern w:val="0"/>
      <w:lang w:eastAsia="en-US"/>
    </w:rPr>
  </w:style>
  <w:style w:type="paragraph" w:customStyle="1" w:styleId="3">
    <w:name w:val="목차 제목 3"/>
    <w:basedOn w:val="2"/>
    <w:link w:val="3Char0"/>
    <w:qFormat/>
    <w:rsid w:val="00234C23"/>
    <w:pPr>
      <w:numPr>
        <w:ilvl w:val="2"/>
      </w:numPr>
    </w:pPr>
    <w:rPr>
      <w:b w:val="0"/>
    </w:rPr>
  </w:style>
  <w:style w:type="character" w:customStyle="1" w:styleId="3Char0">
    <w:name w:val="목차 제목 3 Char"/>
    <w:basedOn w:val="Char2"/>
    <w:link w:val="3"/>
    <w:rsid w:val="00234C23"/>
    <w:rPr>
      <w:rFonts w:ascii="Times New Roman" w:eastAsia="Times New Roman" w:hAnsi="Times New Roman" w:cs="Times New Roman"/>
      <w:kern w:val="0"/>
      <w:lang w:eastAsia="en-US"/>
    </w:rPr>
  </w:style>
  <w:style w:type="paragraph" w:styleId="a9">
    <w:name w:val="Body Text"/>
    <w:basedOn w:val="a"/>
    <w:link w:val="Char3"/>
    <w:uiPriority w:val="1"/>
    <w:unhideWhenUsed/>
    <w:qFormat/>
    <w:rsid w:val="008405EE"/>
    <w:rPr>
      <w:rFonts w:ascii="Arial" w:eastAsia="Arial" w:hAnsi="Arial" w:cs="Arial"/>
    </w:rPr>
  </w:style>
  <w:style w:type="character" w:customStyle="1" w:styleId="Char3">
    <w:name w:val="본문 Char"/>
    <w:basedOn w:val="a0"/>
    <w:link w:val="a9"/>
    <w:uiPriority w:val="1"/>
    <w:rsid w:val="008405EE"/>
    <w:rPr>
      <w:rFonts w:ascii="Arial" w:eastAsia="Arial" w:hAnsi="Arial" w:cs="Arial"/>
      <w:kern w:val="0"/>
      <w:sz w:val="22"/>
      <w:lang w:eastAsia="en-US"/>
    </w:rPr>
  </w:style>
  <w:style w:type="character" w:styleId="aa">
    <w:name w:val="Hyperlink"/>
    <w:basedOn w:val="a0"/>
    <w:uiPriority w:val="99"/>
    <w:unhideWhenUsed/>
    <w:rsid w:val="003A1F77"/>
    <w:rPr>
      <w:color w:val="0000FF"/>
      <w:u w:val="single"/>
    </w:rPr>
  </w:style>
  <w:style w:type="character" w:customStyle="1" w:styleId="11">
    <w:name w:val="확인되지 않은 멘션1"/>
    <w:basedOn w:val="a0"/>
    <w:uiPriority w:val="99"/>
    <w:semiHidden/>
    <w:unhideWhenUsed/>
    <w:rsid w:val="002006CC"/>
    <w:rPr>
      <w:color w:val="605E5C"/>
      <w:shd w:val="clear" w:color="auto" w:fill="E1DFDD"/>
    </w:rPr>
  </w:style>
  <w:style w:type="paragraph" w:styleId="21">
    <w:name w:val="toc 2"/>
    <w:basedOn w:val="a"/>
    <w:next w:val="a"/>
    <w:autoRedefine/>
    <w:uiPriority w:val="39"/>
    <w:unhideWhenUsed/>
    <w:rsid w:val="007B3638"/>
    <w:pPr>
      <w:tabs>
        <w:tab w:val="left" w:pos="993"/>
        <w:tab w:val="right" w:leader="dot" w:pos="9736"/>
      </w:tabs>
      <w:spacing w:line="260" w:lineRule="atLeast"/>
      <w:ind w:leftChars="200" w:left="400"/>
    </w:pPr>
  </w:style>
  <w:style w:type="paragraph" w:styleId="12">
    <w:name w:val="toc 1"/>
    <w:basedOn w:val="a"/>
    <w:next w:val="a"/>
    <w:autoRedefine/>
    <w:uiPriority w:val="39"/>
    <w:unhideWhenUsed/>
    <w:rsid w:val="007B3638"/>
    <w:pPr>
      <w:tabs>
        <w:tab w:val="left" w:pos="400"/>
        <w:tab w:val="right" w:leader="dot" w:pos="9736"/>
      </w:tabs>
      <w:spacing w:beforeLines="50" w:before="120" w:line="260" w:lineRule="atLeast"/>
    </w:pPr>
    <w:rPr>
      <w:noProof/>
    </w:rPr>
  </w:style>
  <w:style w:type="paragraph" w:styleId="31">
    <w:name w:val="toc 3"/>
    <w:basedOn w:val="a"/>
    <w:next w:val="a"/>
    <w:autoRedefine/>
    <w:uiPriority w:val="39"/>
    <w:unhideWhenUsed/>
    <w:rsid w:val="007B3638"/>
    <w:pPr>
      <w:tabs>
        <w:tab w:val="left" w:pos="1134"/>
        <w:tab w:val="right" w:leader="dot" w:pos="9736"/>
      </w:tabs>
      <w:spacing w:line="260" w:lineRule="atLeast"/>
      <w:ind w:leftChars="213" w:left="426"/>
    </w:pPr>
  </w:style>
  <w:style w:type="paragraph" w:styleId="ab">
    <w:name w:val="endnote text"/>
    <w:basedOn w:val="a"/>
    <w:link w:val="Char4"/>
    <w:uiPriority w:val="99"/>
    <w:semiHidden/>
    <w:unhideWhenUsed/>
    <w:rsid w:val="00A9131F"/>
    <w:pPr>
      <w:snapToGrid w:val="0"/>
    </w:pPr>
  </w:style>
  <w:style w:type="character" w:customStyle="1" w:styleId="Char4">
    <w:name w:val="미주 텍스트 Char"/>
    <w:basedOn w:val="a0"/>
    <w:link w:val="ab"/>
    <w:uiPriority w:val="99"/>
    <w:semiHidden/>
    <w:rsid w:val="00A9131F"/>
    <w:rPr>
      <w:rFonts w:ascii="Times New Roman" w:eastAsia="Times New Roman" w:hAnsi="Times New Roman" w:cs="Times New Roman"/>
      <w:kern w:val="0"/>
      <w:sz w:val="22"/>
      <w:lang w:eastAsia="en-US"/>
    </w:rPr>
  </w:style>
  <w:style w:type="character" w:styleId="ac">
    <w:name w:val="endnote reference"/>
    <w:basedOn w:val="a0"/>
    <w:uiPriority w:val="99"/>
    <w:semiHidden/>
    <w:unhideWhenUsed/>
    <w:rsid w:val="00A9131F"/>
    <w:rPr>
      <w:vertAlign w:val="superscript"/>
    </w:rPr>
  </w:style>
  <w:style w:type="character" w:customStyle="1" w:styleId="22">
    <w:name w:val="확인되지 않은 멘션2"/>
    <w:basedOn w:val="a0"/>
    <w:uiPriority w:val="99"/>
    <w:semiHidden/>
    <w:unhideWhenUsed/>
    <w:rsid w:val="00E00EEF"/>
    <w:rPr>
      <w:color w:val="605E5C"/>
      <w:shd w:val="clear" w:color="auto" w:fill="E1DFDD"/>
    </w:rPr>
  </w:style>
  <w:style w:type="paragraph" w:styleId="ad">
    <w:name w:val="Balloon Text"/>
    <w:basedOn w:val="a"/>
    <w:link w:val="Char5"/>
    <w:uiPriority w:val="99"/>
    <w:semiHidden/>
    <w:unhideWhenUsed/>
    <w:rsid w:val="001123AC"/>
    <w:rPr>
      <w:rFonts w:asciiTheme="majorHAnsi" w:eastAsiaTheme="majorEastAsia" w:hAnsiTheme="majorHAnsi" w:cstheme="majorBidi"/>
      <w:sz w:val="18"/>
      <w:szCs w:val="18"/>
    </w:rPr>
  </w:style>
  <w:style w:type="character" w:customStyle="1" w:styleId="Char5">
    <w:name w:val="풍선 도움말 텍스트 Char"/>
    <w:basedOn w:val="a0"/>
    <w:link w:val="ad"/>
    <w:uiPriority w:val="99"/>
    <w:semiHidden/>
    <w:rsid w:val="001123AC"/>
    <w:rPr>
      <w:rFonts w:asciiTheme="majorHAnsi" w:eastAsiaTheme="majorEastAsia" w:hAnsiTheme="majorHAnsi" w:cstheme="majorBidi"/>
      <w:kern w:val="0"/>
      <w:sz w:val="18"/>
      <w:szCs w:val="18"/>
      <w:lang w:eastAsia="en-US"/>
    </w:rPr>
  </w:style>
  <w:style w:type="character" w:styleId="ae">
    <w:name w:val="Unresolved Mention"/>
    <w:basedOn w:val="a0"/>
    <w:uiPriority w:val="99"/>
    <w:semiHidden/>
    <w:unhideWhenUsed/>
    <w:rsid w:val="00C91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6972">
      <w:bodyDiv w:val="1"/>
      <w:marLeft w:val="0"/>
      <w:marRight w:val="0"/>
      <w:marTop w:val="0"/>
      <w:marBottom w:val="0"/>
      <w:divBdr>
        <w:top w:val="none" w:sz="0" w:space="0" w:color="auto"/>
        <w:left w:val="none" w:sz="0" w:space="0" w:color="auto"/>
        <w:bottom w:val="none" w:sz="0" w:space="0" w:color="auto"/>
        <w:right w:val="none" w:sz="0" w:space="0" w:color="auto"/>
      </w:divBdr>
    </w:div>
    <w:div w:id="4940882">
      <w:bodyDiv w:val="1"/>
      <w:marLeft w:val="0"/>
      <w:marRight w:val="0"/>
      <w:marTop w:val="0"/>
      <w:marBottom w:val="0"/>
      <w:divBdr>
        <w:top w:val="none" w:sz="0" w:space="0" w:color="auto"/>
        <w:left w:val="none" w:sz="0" w:space="0" w:color="auto"/>
        <w:bottom w:val="none" w:sz="0" w:space="0" w:color="auto"/>
        <w:right w:val="none" w:sz="0" w:space="0" w:color="auto"/>
      </w:divBdr>
    </w:div>
    <w:div w:id="6517060">
      <w:bodyDiv w:val="1"/>
      <w:marLeft w:val="0"/>
      <w:marRight w:val="0"/>
      <w:marTop w:val="0"/>
      <w:marBottom w:val="0"/>
      <w:divBdr>
        <w:top w:val="none" w:sz="0" w:space="0" w:color="auto"/>
        <w:left w:val="none" w:sz="0" w:space="0" w:color="auto"/>
        <w:bottom w:val="none" w:sz="0" w:space="0" w:color="auto"/>
        <w:right w:val="none" w:sz="0" w:space="0" w:color="auto"/>
      </w:divBdr>
    </w:div>
    <w:div w:id="29381900">
      <w:bodyDiv w:val="1"/>
      <w:marLeft w:val="0"/>
      <w:marRight w:val="0"/>
      <w:marTop w:val="0"/>
      <w:marBottom w:val="0"/>
      <w:divBdr>
        <w:top w:val="none" w:sz="0" w:space="0" w:color="auto"/>
        <w:left w:val="none" w:sz="0" w:space="0" w:color="auto"/>
        <w:bottom w:val="none" w:sz="0" w:space="0" w:color="auto"/>
        <w:right w:val="none" w:sz="0" w:space="0" w:color="auto"/>
      </w:divBdr>
    </w:div>
    <w:div w:id="34890090">
      <w:bodyDiv w:val="1"/>
      <w:marLeft w:val="0"/>
      <w:marRight w:val="0"/>
      <w:marTop w:val="0"/>
      <w:marBottom w:val="0"/>
      <w:divBdr>
        <w:top w:val="none" w:sz="0" w:space="0" w:color="auto"/>
        <w:left w:val="none" w:sz="0" w:space="0" w:color="auto"/>
        <w:bottom w:val="none" w:sz="0" w:space="0" w:color="auto"/>
        <w:right w:val="none" w:sz="0" w:space="0" w:color="auto"/>
      </w:divBdr>
    </w:div>
    <w:div w:id="65734495">
      <w:bodyDiv w:val="1"/>
      <w:marLeft w:val="0"/>
      <w:marRight w:val="0"/>
      <w:marTop w:val="0"/>
      <w:marBottom w:val="0"/>
      <w:divBdr>
        <w:top w:val="none" w:sz="0" w:space="0" w:color="auto"/>
        <w:left w:val="none" w:sz="0" w:space="0" w:color="auto"/>
        <w:bottom w:val="none" w:sz="0" w:space="0" w:color="auto"/>
        <w:right w:val="none" w:sz="0" w:space="0" w:color="auto"/>
      </w:divBdr>
    </w:div>
    <w:div w:id="99884229">
      <w:bodyDiv w:val="1"/>
      <w:marLeft w:val="0"/>
      <w:marRight w:val="0"/>
      <w:marTop w:val="0"/>
      <w:marBottom w:val="0"/>
      <w:divBdr>
        <w:top w:val="none" w:sz="0" w:space="0" w:color="auto"/>
        <w:left w:val="none" w:sz="0" w:space="0" w:color="auto"/>
        <w:bottom w:val="none" w:sz="0" w:space="0" w:color="auto"/>
        <w:right w:val="none" w:sz="0" w:space="0" w:color="auto"/>
      </w:divBdr>
    </w:div>
    <w:div w:id="126044873">
      <w:bodyDiv w:val="1"/>
      <w:marLeft w:val="0"/>
      <w:marRight w:val="0"/>
      <w:marTop w:val="0"/>
      <w:marBottom w:val="0"/>
      <w:divBdr>
        <w:top w:val="none" w:sz="0" w:space="0" w:color="auto"/>
        <w:left w:val="none" w:sz="0" w:space="0" w:color="auto"/>
        <w:bottom w:val="none" w:sz="0" w:space="0" w:color="auto"/>
        <w:right w:val="none" w:sz="0" w:space="0" w:color="auto"/>
      </w:divBdr>
    </w:div>
    <w:div w:id="160439332">
      <w:bodyDiv w:val="1"/>
      <w:marLeft w:val="0"/>
      <w:marRight w:val="0"/>
      <w:marTop w:val="0"/>
      <w:marBottom w:val="0"/>
      <w:divBdr>
        <w:top w:val="none" w:sz="0" w:space="0" w:color="auto"/>
        <w:left w:val="none" w:sz="0" w:space="0" w:color="auto"/>
        <w:bottom w:val="none" w:sz="0" w:space="0" w:color="auto"/>
        <w:right w:val="none" w:sz="0" w:space="0" w:color="auto"/>
      </w:divBdr>
    </w:div>
    <w:div w:id="189031287">
      <w:bodyDiv w:val="1"/>
      <w:marLeft w:val="0"/>
      <w:marRight w:val="0"/>
      <w:marTop w:val="0"/>
      <w:marBottom w:val="0"/>
      <w:divBdr>
        <w:top w:val="none" w:sz="0" w:space="0" w:color="auto"/>
        <w:left w:val="none" w:sz="0" w:space="0" w:color="auto"/>
        <w:bottom w:val="none" w:sz="0" w:space="0" w:color="auto"/>
        <w:right w:val="none" w:sz="0" w:space="0" w:color="auto"/>
      </w:divBdr>
    </w:div>
    <w:div w:id="243299997">
      <w:bodyDiv w:val="1"/>
      <w:marLeft w:val="0"/>
      <w:marRight w:val="0"/>
      <w:marTop w:val="0"/>
      <w:marBottom w:val="0"/>
      <w:divBdr>
        <w:top w:val="none" w:sz="0" w:space="0" w:color="auto"/>
        <w:left w:val="none" w:sz="0" w:space="0" w:color="auto"/>
        <w:bottom w:val="none" w:sz="0" w:space="0" w:color="auto"/>
        <w:right w:val="none" w:sz="0" w:space="0" w:color="auto"/>
      </w:divBdr>
    </w:div>
    <w:div w:id="249461456">
      <w:bodyDiv w:val="1"/>
      <w:marLeft w:val="0"/>
      <w:marRight w:val="0"/>
      <w:marTop w:val="0"/>
      <w:marBottom w:val="0"/>
      <w:divBdr>
        <w:top w:val="none" w:sz="0" w:space="0" w:color="auto"/>
        <w:left w:val="none" w:sz="0" w:space="0" w:color="auto"/>
        <w:bottom w:val="none" w:sz="0" w:space="0" w:color="auto"/>
        <w:right w:val="none" w:sz="0" w:space="0" w:color="auto"/>
      </w:divBdr>
    </w:div>
    <w:div w:id="309751204">
      <w:bodyDiv w:val="1"/>
      <w:marLeft w:val="0"/>
      <w:marRight w:val="0"/>
      <w:marTop w:val="0"/>
      <w:marBottom w:val="0"/>
      <w:divBdr>
        <w:top w:val="none" w:sz="0" w:space="0" w:color="auto"/>
        <w:left w:val="none" w:sz="0" w:space="0" w:color="auto"/>
        <w:bottom w:val="none" w:sz="0" w:space="0" w:color="auto"/>
        <w:right w:val="none" w:sz="0" w:space="0" w:color="auto"/>
      </w:divBdr>
    </w:div>
    <w:div w:id="339629424">
      <w:bodyDiv w:val="1"/>
      <w:marLeft w:val="0"/>
      <w:marRight w:val="0"/>
      <w:marTop w:val="0"/>
      <w:marBottom w:val="0"/>
      <w:divBdr>
        <w:top w:val="none" w:sz="0" w:space="0" w:color="auto"/>
        <w:left w:val="none" w:sz="0" w:space="0" w:color="auto"/>
        <w:bottom w:val="none" w:sz="0" w:space="0" w:color="auto"/>
        <w:right w:val="none" w:sz="0" w:space="0" w:color="auto"/>
      </w:divBdr>
    </w:div>
    <w:div w:id="342515437">
      <w:bodyDiv w:val="1"/>
      <w:marLeft w:val="0"/>
      <w:marRight w:val="0"/>
      <w:marTop w:val="0"/>
      <w:marBottom w:val="0"/>
      <w:divBdr>
        <w:top w:val="none" w:sz="0" w:space="0" w:color="auto"/>
        <w:left w:val="none" w:sz="0" w:space="0" w:color="auto"/>
        <w:bottom w:val="none" w:sz="0" w:space="0" w:color="auto"/>
        <w:right w:val="none" w:sz="0" w:space="0" w:color="auto"/>
      </w:divBdr>
    </w:div>
    <w:div w:id="348986957">
      <w:bodyDiv w:val="1"/>
      <w:marLeft w:val="0"/>
      <w:marRight w:val="0"/>
      <w:marTop w:val="0"/>
      <w:marBottom w:val="0"/>
      <w:divBdr>
        <w:top w:val="none" w:sz="0" w:space="0" w:color="auto"/>
        <w:left w:val="none" w:sz="0" w:space="0" w:color="auto"/>
        <w:bottom w:val="none" w:sz="0" w:space="0" w:color="auto"/>
        <w:right w:val="none" w:sz="0" w:space="0" w:color="auto"/>
      </w:divBdr>
    </w:div>
    <w:div w:id="357588249">
      <w:bodyDiv w:val="1"/>
      <w:marLeft w:val="0"/>
      <w:marRight w:val="0"/>
      <w:marTop w:val="0"/>
      <w:marBottom w:val="0"/>
      <w:divBdr>
        <w:top w:val="none" w:sz="0" w:space="0" w:color="auto"/>
        <w:left w:val="none" w:sz="0" w:space="0" w:color="auto"/>
        <w:bottom w:val="none" w:sz="0" w:space="0" w:color="auto"/>
        <w:right w:val="none" w:sz="0" w:space="0" w:color="auto"/>
      </w:divBdr>
    </w:div>
    <w:div w:id="377779604">
      <w:bodyDiv w:val="1"/>
      <w:marLeft w:val="0"/>
      <w:marRight w:val="0"/>
      <w:marTop w:val="0"/>
      <w:marBottom w:val="0"/>
      <w:divBdr>
        <w:top w:val="none" w:sz="0" w:space="0" w:color="auto"/>
        <w:left w:val="none" w:sz="0" w:space="0" w:color="auto"/>
        <w:bottom w:val="none" w:sz="0" w:space="0" w:color="auto"/>
        <w:right w:val="none" w:sz="0" w:space="0" w:color="auto"/>
      </w:divBdr>
    </w:div>
    <w:div w:id="384064318">
      <w:bodyDiv w:val="1"/>
      <w:marLeft w:val="0"/>
      <w:marRight w:val="0"/>
      <w:marTop w:val="0"/>
      <w:marBottom w:val="0"/>
      <w:divBdr>
        <w:top w:val="none" w:sz="0" w:space="0" w:color="auto"/>
        <w:left w:val="none" w:sz="0" w:space="0" w:color="auto"/>
        <w:bottom w:val="none" w:sz="0" w:space="0" w:color="auto"/>
        <w:right w:val="none" w:sz="0" w:space="0" w:color="auto"/>
      </w:divBdr>
    </w:div>
    <w:div w:id="392654970">
      <w:bodyDiv w:val="1"/>
      <w:marLeft w:val="0"/>
      <w:marRight w:val="0"/>
      <w:marTop w:val="0"/>
      <w:marBottom w:val="0"/>
      <w:divBdr>
        <w:top w:val="none" w:sz="0" w:space="0" w:color="auto"/>
        <w:left w:val="none" w:sz="0" w:space="0" w:color="auto"/>
        <w:bottom w:val="none" w:sz="0" w:space="0" w:color="auto"/>
        <w:right w:val="none" w:sz="0" w:space="0" w:color="auto"/>
      </w:divBdr>
    </w:div>
    <w:div w:id="422410544">
      <w:bodyDiv w:val="1"/>
      <w:marLeft w:val="0"/>
      <w:marRight w:val="0"/>
      <w:marTop w:val="0"/>
      <w:marBottom w:val="0"/>
      <w:divBdr>
        <w:top w:val="none" w:sz="0" w:space="0" w:color="auto"/>
        <w:left w:val="none" w:sz="0" w:space="0" w:color="auto"/>
        <w:bottom w:val="none" w:sz="0" w:space="0" w:color="auto"/>
        <w:right w:val="none" w:sz="0" w:space="0" w:color="auto"/>
      </w:divBdr>
    </w:div>
    <w:div w:id="442505193">
      <w:bodyDiv w:val="1"/>
      <w:marLeft w:val="0"/>
      <w:marRight w:val="0"/>
      <w:marTop w:val="0"/>
      <w:marBottom w:val="0"/>
      <w:divBdr>
        <w:top w:val="none" w:sz="0" w:space="0" w:color="auto"/>
        <w:left w:val="none" w:sz="0" w:space="0" w:color="auto"/>
        <w:bottom w:val="none" w:sz="0" w:space="0" w:color="auto"/>
        <w:right w:val="none" w:sz="0" w:space="0" w:color="auto"/>
      </w:divBdr>
    </w:div>
    <w:div w:id="449326176">
      <w:bodyDiv w:val="1"/>
      <w:marLeft w:val="0"/>
      <w:marRight w:val="0"/>
      <w:marTop w:val="0"/>
      <w:marBottom w:val="0"/>
      <w:divBdr>
        <w:top w:val="none" w:sz="0" w:space="0" w:color="auto"/>
        <w:left w:val="none" w:sz="0" w:space="0" w:color="auto"/>
        <w:bottom w:val="none" w:sz="0" w:space="0" w:color="auto"/>
        <w:right w:val="none" w:sz="0" w:space="0" w:color="auto"/>
      </w:divBdr>
    </w:div>
    <w:div w:id="452746387">
      <w:bodyDiv w:val="1"/>
      <w:marLeft w:val="0"/>
      <w:marRight w:val="0"/>
      <w:marTop w:val="0"/>
      <w:marBottom w:val="0"/>
      <w:divBdr>
        <w:top w:val="none" w:sz="0" w:space="0" w:color="auto"/>
        <w:left w:val="none" w:sz="0" w:space="0" w:color="auto"/>
        <w:bottom w:val="none" w:sz="0" w:space="0" w:color="auto"/>
        <w:right w:val="none" w:sz="0" w:space="0" w:color="auto"/>
      </w:divBdr>
    </w:div>
    <w:div w:id="456990297">
      <w:bodyDiv w:val="1"/>
      <w:marLeft w:val="0"/>
      <w:marRight w:val="0"/>
      <w:marTop w:val="0"/>
      <w:marBottom w:val="0"/>
      <w:divBdr>
        <w:top w:val="none" w:sz="0" w:space="0" w:color="auto"/>
        <w:left w:val="none" w:sz="0" w:space="0" w:color="auto"/>
        <w:bottom w:val="none" w:sz="0" w:space="0" w:color="auto"/>
        <w:right w:val="none" w:sz="0" w:space="0" w:color="auto"/>
      </w:divBdr>
    </w:div>
    <w:div w:id="472672764">
      <w:bodyDiv w:val="1"/>
      <w:marLeft w:val="0"/>
      <w:marRight w:val="0"/>
      <w:marTop w:val="0"/>
      <w:marBottom w:val="0"/>
      <w:divBdr>
        <w:top w:val="none" w:sz="0" w:space="0" w:color="auto"/>
        <w:left w:val="none" w:sz="0" w:space="0" w:color="auto"/>
        <w:bottom w:val="none" w:sz="0" w:space="0" w:color="auto"/>
        <w:right w:val="none" w:sz="0" w:space="0" w:color="auto"/>
      </w:divBdr>
    </w:div>
    <w:div w:id="490869006">
      <w:bodyDiv w:val="1"/>
      <w:marLeft w:val="0"/>
      <w:marRight w:val="0"/>
      <w:marTop w:val="0"/>
      <w:marBottom w:val="0"/>
      <w:divBdr>
        <w:top w:val="none" w:sz="0" w:space="0" w:color="auto"/>
        <w:left w:val="none" w:sz="0" w:space="0" w:color="auto"/>
        <w:bottom w:val="none" w:sz="0" w:space="0" w:color="auto"/>
        <w:right w:val="none" w:sz="0" w:space="0" w:color="auto"/>
      </w:divBdr>
    </w:div>
    <w:div w:id="504366761">
      <w:bodyDiv w:val="1"/>
      <w:marLeft w:val="0"/>
      <w:marRight w:val="0"/>
      <w:marTop w:val="0"/>
      <w:marBottom w:val="0"/>
      <w:divBdr>
        <w:top w:val="none" w:sz="0" w:space="0" w:color="auto"/>
        <w:left w:val="none" w:sz="0" w:space="0" w:color="auto"/>
        <w:bottom w:val="none" w:sz="0" w:space="0" w:color="auto"/>
        <w:right w:val="none" w:sz="0" w:space="0" w:color="auto"/>
      </w:divBdr>
    </w:div>
    <w:div w:id="513611550">
      <w:bodyDiv w:val="1"/>
      <w:marLeft w:val="0"/>
      <w:marRight w:val="0"/>
      <w:marTop w:val="0"/>
      <w:marBottom w:val="0"/>
      <w:divBdr>
        <w:top w:val="none" w:sz="0" w:space="0" w:color="auto"/>
        <w:left w:val="none" w:sz="0" w:space="0" w:color="auto"/>
        <w:bottom w:val="none" w:sz="0" w:space="0" w:color="auto"/>
        <w:right w:val="none" w:sz="0" w:space="0" w:color="auto"/>
      </w:divBdr>
    </w:div>
    <w:div w:id="524445894">
      <w:bodyDiv w:val="1"/>
      <w:marLeft w:val="0"/>
      <w:marRight w:val="0"/>
      <w:marTop w:val="0"/>
      <w:marBottom w:val="0"/>
      <w:divBdr>
        <w:top w:val="none" w:sz="0" w:space="0" w:color="auto"/>
        <w:left w:val="none" w:sz="0" w:space="0" w:color="auto"/>
        <w:bottom w:val="none" w:sz="0" w:space="0" w:color="auto"/>
        <w:right w:val="none" w:sz="0" w:space="0" w:color="auto"/>
      </w:divBdr>
    </w:div>
    <w:div w:id="526022900">
      <w:bodyDiv w:val="1"/>
      <w:marLeft w:val="0"/>
      <w:marRight w:val="0"/>
      <w:marTop w:val="0"/>
      <w:marBottom w:val="0"/>
      <w:divBdr>
        <w:top w:val="none" w:sz="0" w:space="0" w:color="auto"/>
        <w:left w:val="none" w:sz="0" w:space="0" w:color="auto"/>
        <w:bottom w:val="none" w:sz="0" w:space="0" w:color="auto"/>
        <w:right w:val="none" w:sz="0" w:space="0" w:color="auto"/>
      </w:divBdr>
    </w:div>
    <w:div w:id="529150318">
      <w:bodyDiv w:val="1"/>
      <w:marLeft w:val="0"/>
      <w:marRight w:val="0"/>
      <w:marTop w:val="0"/>
      <w:marBottom w:val="0"/>
      <w:divBdr>
        <w:top w:val="none" w:sz="0" w:space="0" w:color="auto"/>
        <w:left w:val="none" w:sz="0" w:space="0" w:color="auto"/>
        <w:bottom w:val="none" w:sz="0" w:space="0" w:color="auto"/>
        <w:right w:val="none" w:sz="0" w:space="0" w:color="auto"/>
      </w:divBdr>
    </w:div>
    <w:div w:id="549728600">
      <w:bodyDiv w:val="1"/>
      <w:marLeft w:val="0"/>
      <w:marRight w:val="0"/>
      <w:marTop w:val="0"/>
      <w:marBottom w:val="0"/>
      <w:divBdr>
        <w:top w:val="none" w:sz="0" w:space="0" w:color="auto"/>
        <w:left w:val="none" w:sz="0" w:space="0" w:color="auto"/>
        <w:bottom w:val="none" w:sz="0" w:space="0" w:color="auto"/>
        <w:right w:val="none" w:sz="0" w:space="0" w:color="auto"/>
      </w:divBdr>
    </w:div>
    <w:div w:id="550851264">
      <w:bodyDiv w:val="1"/>
      <w:marLeft w:val="0"/>
      <w:marRight w:val="0"/>
      <w:marTop w:val="0"/>
      <w:marBottom w:val="0"/>
      <w:divBdr>
        <w:top w:val="none" w:sz="0" w:space="0" w:color="auto"/>
        <w:left w:val="none" w:sz="0" w:space="0" w:color="auto"/>
        <w:bottom w:val="none" w:sz="0" w:space="0" w:color="auto"/>
        <w:right w:val="none" w:sz="0" w:space="0" w:color="auto"/>
      </w:divBdr>
    </w:div>
    <w:div w:id="554119783">
      <w:bodyDiv w:val="1"/>
      <w:marLeft w:val="0"/>
      <w:marRight w:val="0"/>
      <w:marTop w:val="0"/>
      <w:marBottom w:val="0"/>
      <w:divBdr>
        <w:top w:val="none" w:sz="0" w:space="0" w:color="auto"/>
        <w:left w:val="none" w:sz="0" w:space="0" w:color="auto"/>
        <w:bottom w:val="none" w:sz="0" w:space="0" w:color="auto"/>
        <w:right w:val="none" w:sz="0" w:space="0" w:color="auto"/>
      </w:divBdr>
    </w:div>
    <w:div w:id="577523093">
      <w:bodyDiv w:val="1"/>
      <w:marLeft w:val="0"/>
      <w:marRight w:val="0"/>
      <w:marTop w:val="0"/>
      <w:marBottom w:val="0"/>
      <w:divBdr>
        <w:top w:val="none" w:sz="0" w:space="0" w:color="auto"/>
        <w:left w:val="none" w:sz="0" w:space="0" w:color="auto"/>
        <w:bottom w:val="none" w:sz="0" w:space="0" w:color="auto"/>
        <w:right w:val="none" w:sz="0" w:space="0" w:color="auto"/>
      </w:divBdr>
    </w:div>
    <w:div w:id="580529122">
      <w:bodyDiv w:val="1"/>
      <w:marLeft w:val="0"/>
      <w:marRight w:val="0"/>
      <w:marTop w:val="0"/>
      <w:marBottom w:val="0"/>
      <w:divBdr>
        <w:top w:val="none" w:sz="0" w:space="0" w:color="auto"/>
        <w:left w:val="none" w:sz="0" w:space="0" w:color="auto"/>
        <w:bottom w:val="none" w:sz="0" w:space="0" w:color="auto"/>
        <w:right w:val="none" w:sz="0" w:space="0" w:color="auto"/>
      </w:divBdr>
    </w:div>
    <w:div w:id="644161194">
      <w:bodyDiv w:val="1"/>
      <w:marLeft w:val="0"/>
      <w:marRight w:val="0"/>
      <w:marTop w:val="0"/>
      <w:marBottom w:val="0"/>
      <w:divBdr>
        <w:top w:val="none" w:sz="0" w:space="0" w:color="auto"/>
        <w:left w:val="none" w:sz="0" w:space="0" w:color="auto"/>
        <w:bottom w:val="none" w:sz="0" w:space="0" w:color="auto"/>
        <w:right w:val="none" w:sz="0" w:space="0" w:color="auto"/>
      </w:divBdr>
    </w:div>
    <w:div w:id="686180779">
      <w:bodyDiv w:val="1"/>
      <w:marLeft w:val="0"/>
      <w:marRight w:val="0"/>
      <w:marTop w:val="0"/>
      <w:marBottom w:val="0"/>
      <w:divBdr>
        <w:top w:val="none" w:sz="0" w:space="0" w:color="auto"/>
        <w:left w:val="none" w:sz="0" w:space="0" w:color="auto"/>
        <w:bottom w:val="none" w:sz="0" w:space="0" w:color="auto"/>
        <w:right w:val="none" w:sz="0" w:space="0" w:color="auto"/>
      </w:divBdr>
    </w:div>
    <w:div w:id="689842720">
      <w:bodyDiv w:val="1"/>
      <w:marLeft w:val="0"/>
      <w:marRight w:val="0"/>
      <w:marTop w:val="0"/>
      <w:marBottom w:val="0"/>
      <w:divBdr>
        <w:top w:val="none" w:sz="0" w:space="0" w:color="auto"/>
        <w:left w:val="none" w:sz="0" w:space="0" w:color="auto"/>
        <w:bottom w:val="none" w:sz="0" w:space="0" w:color="auto"/>
        <w:right w:val="none" w:sz="0" w:space="0" w:color="auto"/>
      </w:divBdr>
    </w:div>
    <w:div w:id="691496424">
      <w:bodyDiv w:val="1"/>
      <w:marLeft w:val="0"/>
      <w:marRight w:val="0"/>
      <w:marTop w:val="0"/>
      <w:marBottom w:val="0"/>
      <w:divBdr>
        <w:top w:val="none" w:sz="0" w:space="0" w:color="auto"/>
        <w:left w:val="none" w:sz="0" w:space="0" w:color="auto"/>
        <w:bottom w:val="none" w:sz="0" w:space="0" w:color="auto"/>
        <w:right w:val="none" w:sz="0" w:space="0" w:color="auto"/>
      </w:divBdr>
    </w:div>
    <w:div w:id="758912583">
      <w:bodyDiv w:val="1"/>
      <w:marLeft w:val="0"/>
      <w:marRight w:val="0"/>
      <w:marTop w:val="0"/>
      <w:marBottom w:val="0"/>
      <w:divBdr>
        <w:top w:val="none" w:sz="0" w:space="0" w:color="auto"/>
        <w:left w:val="none" w:sz="0" w:space="0" w:color="auto"/>
        <w:bottom w:val="none" w:sz="0" w:space="0" w:color="auto"/>
        <w:right w:val="none" w:sz="0" w:space="0" w:color="auto"/>
      </w:divBdr>
    </w:div>
    <w:div w:id="790320297">
      <w:bodyDiv w:val="1"/>
      <w:marLeft w:val="0"/>
      <w:marRight w:val="0"/>
      <w:marTop w:val="0"/>
      <w:marBottom w:val="0"/>
      <w:divBdr>
        <w:top w:val="none" w:sz="0" w:space="0" w:color="auto"/>
        <w:left w:val="none" w:sz="0" w:space="0" w:color="auto"/>
        <w:bottom w:val="none" w:sz="0" w:space="0" w:color="auto"/>
        <w:right w:val="none" w:sz="0" w:space="0" w:color="auto"/>
      </w:divBdr>
    </w:div>
    <w:div w:id="803155116">
      <w:bodyDiv w:val="1"/>
      <w:marLeft w:val="0"/>
      <w:marRight w:val="0"/>
      <w:marTop w:val="0"/>
      <w:marBottom w:val="0"/>
      <w:divBdr>
        <w:top w:val="none" w:sz="0" w:space="0" w:color="auto"/>
        <w:left w:val="none" w:sz="0" w:space="0" w:color="auto"/>
        <w:bottom w:val="none" w:sz="0" w:space="0" w:color="auto"/>
        <w:right w:val="none" w:sz="0" w:space="0" w:color="auto"/>
      </w:divBdr>
    </w:div>
    <w:div w:id="832647201">
      <w:bodyDiv w:val="1"/>
      <w:marLeft w:val="0"/>
      <w:marRight w:val="0"/>
      <w:marTop w:val="0"/>
      <w:marBottom w:val="0"/>
      <w:divBdr>
        <w:top w:val="none" w:sz="0" w:space="0" w:color="auto"/>
        <w:left w:val="none" w:sz="0" w:space="0" w:color="auto"/>
        <w:bottom w:val="none" w:sz="0" w:space="0" w:color="auto"/>
        <w:right w:val="none" w:sz="0" w:space="0" w:color="auto"/>
      </w:divBdr>
    </w:div>
    <w:div w:id="844634557">
      <w:bodyDiv w:val="1"/>
      <w:marLeft w:val="0"/>
      <w:marRight w:val="0"/>
      <w:marTop w:val="0"/>
      <w:marBottom w:val="0"/>
      <w:divBdr>
        <w:top w:val="none" w:sz="0" w:space="0" w:color="auto"/>
        <w:left w:val="none" w:sz="0" w:space="0" w:color="auto"/>
        <w:bottom w:val="none" w:sz="0" w:space="0" w:color="auto"/>
        <w:right w:val="none" w:sz="0" w:space="0" w:color="auto"/>
      </w:divBdr>
    </w:div>
    <w:div w:id="861478451">
      <w:bodyDiv w:val="1"/>
      <w:marLeft w:val="0"/>
      <w:marRight w:val="0"/>
      <w:marTop w:val="0"/>
      <w:marBottom w:val="0"/>
      <w:divBdr>
        <w:top w:val="none" w:sz="0" w:space="0" w:color="auto"/>
        <w:left w:val="none" w:sz="0" w:space="0" w:color="auto"/>
        <w:bottom w:val="none" w:sz="0" w:space="0" w:color="auto"/>
        <w:right w:val="none" w:sz="0" w:space="0" w:color="auto"/>
      </w:divBdr>
    </w:div>
    <w:div w:id="865480633">
      <w:bodyDiv w:val="1"/>
      <w:marLeft w:val="0"/>
      <w:marRight w:val="0"/>
      <w:marTop w:val="0"/>
      <w:marBottom w:val="0"/>
      <w:divBdr>
        <w:top w:val="none" w:sz="0" w:space="0" w:color="auto"/>
        <w:left w:val="none" w:sz="0" w:space="0" w:color="auto"/>
        <w:bottom w:val="none" w:sz="0" w:space="0" w:color="auto"/>
        <w:right w:val="none" w:sz="0" w:space="0" w:color="auto"/>
      </w:divBdr>
    </w:div>
    <w:div w:id="869687133">
      <w:bodyDiv w:val="1"/>
      <w:marLeft w:val="0"/>
      <w:marRight w:val="0"/>
      <w:marTop w:val="0"/>
      <w:marBottom w:val="0"/>
      <w:divBdr>
        <w:top w:val="none" w:sz="0" w:space="0" w:color="auto"/>
        <w:left w:val="none" w:sz="0" w:space="0" w:color="auto"/>
        <w:bottom w:val="none" w:sz="0" w:space="0" w:color="auto"/>
        <w:right w:val="none" w:sz="0" w:space="0" w:color="auto"/>
      </w:divBdr>
    </w:div>
    <w:div w:id="873542928">
      <w:bodyDiv w:val="1"/>
      <w:marLeft w:val="0"/>
      <w:marRight w:val="0"/>
      <w:marTop w:val="0"/>
      <w:marBottom w:val="0"/>
      <w:divBdr>
        <w:top w:val="none" w:sz="0" w:space="0" w:color="auto"/>
        <w:left w:val="none" w:sz="0" w:space="0" w:color="auto"/>
        <w:bottom w:val="none" w:sz="0" w:space="0" w:color="auto"/>
        <w:right w:val="none" w:sz="0" w:space="0" w:color="auto"/>
      </w:divBdr>
    </w:div>
    <w:div w:id="878519009">
      <w:bodyDiv w:val="1"/>
      <w:marLeft w:val="0"/>
      <w:marRight w:val="0"/>
      <w:marTop w:val="0"/>
      <w:marBottom w:val="0"/>
      <w:divBdr>
        <w:top w:val="none" w:sz="0" w:space="0" w:color="auto"/>
        <w:left w:val="none" w:sz="0" w:space="0" w:color="auto"/>
        <w:bottom w:val="none" w:sz="0" w:space="0" w:color="auto"/>
        <w:right w:val="none" w:sz="0" w:space="0" w:color="auto"/>
      </w:divBdr>
    </w:div>
    <w:div w:id="933590369">
      <w:bodyDiv w:val="1"/>
      <w:marLeft w:val="0"/>
      <w:marRight w:val="0"/>
      <w:marTop w:val="0"/>
      <w:marBottom w:val="0"/>
      <w:divBdr>
        <w:top w:val="none" w:sz="0" w:space="0" w:color="auto"/>
        <w:left w:val="none" w:sz="0" w:space="0" w:color="auto"/>
        <w:bottom w:val="none" w:sz="0" w:space="0" w:color="auto"/>
        <w:right w:val="none" w:sz="0" w:space="0" w:color="auto"/>
      </w:divBdr>
    </w:div>
    <w:div w:id="943266252">
      <w:bodyDiv w:val="1"/>
      <w:marLeft w:val="0"/>
      <w:marRight w:val="0"/>
      <w:marTop w:val="0"/>
      <w:marBottom w:val="0"/>
      <w:divBdr>
        <w:top w:val="none" w:sz="0" w:space="0" w:color="auto"/>
        <w:left w:val="none" w:sz="0" w:space="0" w:color="auto"/>
        <w:bottom w:val="none" w:sz="0" w:space="0" w:color="auto"/>
        <w:right w:val="none" w:sz="0" w:space="0" w:color="auto"/>
      </w:divBdr>
    </w:div>
    <w:div w:id="947007574">
      <w:bodyDiv w:val="1"/>
      <w:marLeft w:val="0"/>
      <w:marRight w:val="0"/>
      <w:marTop w:val="0"/>
      <w:marBottom w:val="0"/>
      <w:divBdr>
        <w:top w:val="none" w:sz="0" w:space="0" w:color="auto"/>
        <w:left w:val="none" w:sz="0" w:space="0" w:color="auto"/>
        <w:bottom w:val="none" w:sz="0" w:space="0" w:color="auto"/>
        <w:right w:val="none" w:sz="0" w:space="0" w:color="auto"/>
      </w:divBdr>
    </w:div>
    <w:div w:id="954097867">
      <w:bodyDiv w:val="1"/>
      <w:marLeft w:val="0"/>
      <w:marRight w:val="0"/>
      <w:marTop w:val="0"/>
      <w:marBottom w:val="0"/>
      <w:divBdr>
        <w:top w:val="none" w:sz="0" w:space="0" w:color="auto"/>
        <w:left w:val="none" w:sz="0" w:space="0" w:color="auto"/>
        <w:bottom w:val="none" w:sz="0" w:space="0" w:color="auto"/>
        <w:right w:val="none" w:sz="0" w:space="0" w:color="auto"/>
      </w:divBdr>
    </w:div>
    <w:div w:id="969479676">
      <w:bodyDiv w:val="1"/>
      <w:marLeft w:val="0"/>
      <w:marRight w:val="0"/>
      <w:marTop w:val="0"/>
      <w:marBottom w:val="0"/>
      <w:divBdr>
        <w:top w:val="none" w:sz="0" w:space="0" w:color="auto"/>
        <w:left w:val="none" w:sz="0" w:space="0" w:color="auto"/>
        <w:bottom w:val="none" w:sz="0" w:space="0" w:color="auto"/>
        <w:right w:val="none" w:sz="0" w:space="0" w:color="auto"/>
      </w:divBdr>
    </w:div>
    <w:div w:id="1023631736">
      <w:bodyDiv w:val="1"/>
      <w:marLeft w:val="0"/>
      <w:marRight w:val="0"/>
      <w:marTop w:val="0"/>
      <w:marBottom w:val="0"/>
      <w:divBdr>
        <w:top w:val="none" w:sz="0" w:space="0" w:color="auto"/>
        <w:left w:val="none" w:sz="0" w:space="0" w:color="auto"/>
        <w:bottom w:val="none" w:sz="0" w:space="0" w:color="auto"/>
        <w:right w:val="none" w:sz="0" w:space="0" w:color="auto"/>
      </w:divBdr>
    </w:div>
    <w:div w:id="1045711635">
      <w:bodyDiv w:val="1"/>
      <w:marLeft w:val="0"/>
      <w:marRight w:val="0"/>
      <w:marTop w:val="0"/>
      <w:marBottom w:val="0"/>
      <w:divBdr>
        <w:top w:val="none" w:sz="0" w:space="0" w:color="auto"/>
        <w:left w:val="none" w:sz="0" w:space="0" w:color="auto"/>
        <w:bottom w:val="none" w:sz="0" w:space="0" w:color="auto"/>
        <w:right w:val="none" w:sz="0" w:space="0" w:color="auto"/>
      </w:divBdr>
    </w:div>
    <w:div w:id="1066999205">
      <w:bodyDiv w:val="1"/>
      <w:marLeft w:val="0"/>
      <w:marRight w:val="0"/>
      <w:marTop w:val="0"/>
      <w:marBottom w:val="0"/>
      <w:divBdr>
        <w:top w:val="none" w:sz="0" w:space="0" w:color="auto"/>
        <w:left w:val="none" w:sz="0" w:space="0" w:color="auto"/>
        <w:bottom w:val="none" w:sz="0" w:space="0" w:color="auto"/>
        <w:right w:val="none" w:sz="0" w:space="0" w:color="auto"/>
      </w:divBdr>
    </w:div>
    <w:div w:id="1082796351">
      <w:bodyDiv w:val="1"/>
      <w:marLeft w:val="0"/>
      <w:marRight w:val="0"/>
      <w:marTop w:val="0"/>
      <w:marBottom w:val="0"/>
      <w:divBdr>
        <w:top w:val="none" w:sz="0" w:space="0" w:color="auto"/>
        <w:left w:val="none" w:sz="0" w:space="0" w:color="auto"/>
        <w:bottom w:val="none" w:sz="0" w:space="0" w:color="auto"/>
        <w:right w:val="none" w:sz="0" w:space="0" w:color="auto"/>
      </w:divBdr>
    </w:div>
    <w:div w:id="1093866693">
      <w:bodyDiv w:val="1"/>
      <w:marLeft w:val="0"/>
      <w:marRight w:val="0"/>
      <w:marTop w:val="0"/>
      <w:marBottom w:val="0"/>
      <w:divBdr>
        <w:top w:val="none" w:sz="0" w:space="0" w:color="auto"/>
        <w:left w:val="none" w:sz="0" w:space="0" w:color="auto"/>
        <w:bottom w:val="none" w:sz="0" w:space="0" w:color="auto"/>
        <w:right w:val="none" w:sz="0" w:space="0" w:color="auto"/>
      </w:divBdr>
    </w:div>
    <w:div w:id="1108504019">
      <w:bodyDiv w:val="1"/>
      <w:marLeft w:val="0"/>
      <w:marRight w:val="0"/>
      <w:marTop w:val="0"/>
      <w:marBottom w:val="0"/>
      <w:divBdr>
        <w:top w:val="none" w:sz="0" w:space="0" w:color="auto"/>
        <w:left w:val="none" w:sz="0" w:space="0" w:color="auto"/>
        <w:bottom w:val="none" w:sz="0" w:space="0" w:color="auto"/>
        <w:right w:val="none" w:sz="0" w:space="0" w:color="auto"/>
      </w:divBdr>
    </w:div>
    <w:div w:id="1130055761">
      <w:bodyDiv w:val="1"/>
      <w:marLeft w:val="0"/>
      <w:marRight w:val="0"/>
      <w:marTop w:val="0"/>
      <w:marBottom w:val="0"/>
      <w:divBdr>
        <w:top w:val="none" w:sz="0" w:space="0" w:color="auto"/>
        <w:left w:val="none" w:sz="0" w:space="0" w:color="auto"/>
        <w:bottom w:val="none" w:sz="0" w:space="0" w:color="auto"/>
        <w:right w:val="none" w:sz="0" w:space="0" w:color="auto"/>
      </w:divBdr>
    </w:div>
    <w:div w:id="1139611207">
      <w:bodyDiv w:val="1"/>
      <w:marLeft w:val="0"/>
      <w:marRight w:val="0"/>
      <w:marTop w:val="0"/>
      <w:marBottom w:val="0"/>
      <w:divBdr>
        <w:top w:val="none" w:sz="0" w:space="0" w:color="auto"/>
        <w:left w:val="none" w:sz="0" w:space="0" w:color="auto"/>
        <w:bottom w:val="none" w:sz="0" w:space="0" w:color="auto"/>
        <w:right w:val="none" w:sz="0" w:space="0" w:color="auto"/>
      </w:divBdr>
    </w:div>
    <w:div w:id="1157913649">
      <w:bodyDiv w:val="1"/>
      <w:marLeft w:val="0"/>
      <w:marRight w:val="0"/>
      <w:marTop w:val="0"/>
      <w:marBottom w:val="0"/>
      <w:divBdr>
        <w:top w:val="none" w:sz="0" w:space="0" w:color="auto"/>
        <w:left w:val="none" w:sz="0" w:space="0" w:color="auto"/>
        <w:bottom w:val="none" w:sz="0" w:space="0" w:color="auto"/>
        <w:right w:val="none" w:sz="0" w:space="0" w:color="auto"/>
      </w:divBdr>
    </w:div>
    <w:div w:id="1217357748">
      <w:bodyDiv w:val="1"/>
      <w:marLeft w:val="0"/>
      <w:marRight w:val="0"/>
      <w:marTop w:val="0"/>
      <w:marBottom w:val="0"/>
      <w:divBdr>
        <w:top w:val="none" w:sz="0" w:space="0" w:color="auto"/>
        <w:left w:val="none" w:sz="0" w:space="0" w:color="auto"/>
        <w:bottom w:val="none" w:sz="0" w:space="0" w:color="auto"/>
        <w:right w:val="none" w:sz="0" w:space="0" w:color="auto"/>
      </w:divBdr>
    </w:div>
    <w:div w:id="1218054050">
      <w:bodyDiv w:val="1"/>
      <w:marLeft w:val="0"/>
      <w:marRight w:val="0"/>
      <w:marTop w:val="0"/>
      <w:marBottom w:val="0"/>
      <w:divBdr>
        <w:top w:val="none" w:sz="0" w:space="0" w:color="auto"/>
        <w:left w:val="none" w:sz="0" w:space="0" w:color="auto"/>
        <w:bottom w:val="none" w:sz="0" w:space="0" w:color="auto"/>
        <w:right w:val="none" w:sz="0" w:space="0" w:color="auto"/>
      </w:divBdr>
    </w:div>
    <w:div w:id="1232278859">
      <w:bodyDiv w:val="1"/>
      <w:marLeft w:val="0"/>
      <w:marRight w:val="0"/>
      <w:marTop w:val="0"/>
      <w:marBottom w:val="0"/>
      <w:divBdr>
        <w:top w:val="none" w:sz="0" w:space="0" w:color="auto"/>
        <w:left w:val="none" w:sz="0" w:space="0" w:color="auto"/>
        <w:bottom w:val="none" w:sz="0" w:space="0" w:color="auto"/>
        <w:right w:val="none" w:sz="0" w:space="0" w:color="auto"/>
      </w:divBdr>
    </w:div>
    <w:div w:id="1263489026">
      <w:bodyDiv w:val="1"/>
      <w:marLeft w:val="0"/>
      <w:marRight w:val="0"/>
      <w:marTop w:val="0"/>
      <w:marBottom w:val="0"/>
      <w:divBdr>
        <w:top w:val="none" w:sz="0" w:space="0" w:color="auto"/>
        <w:left w:val="none" w:sz="0" w:space="0" w:color="auto"/>
        <w:bottom w:val="none" w:sz="0" w:space="0" w:color="auto"/>
        <w:right w:val="none" w:sz="0" w:space="0" w:color="auto"/>
      </w:divBdr>
    </w:div>
    <w:div w:id="1298993659">
      <w:bodyDiv w:val="1"/>
      <w:marLeft w:val="0"/>
      <w:marRight w:val="0"/>
      <w:marTop w:val="0"/>
      <w:marBottom w:val="0"/>
      <w:divBdr>
        <w:top w:val="none" w:sz="0" w:space="0" w:color="auto"/>
        <w:left w:val="none" w:sz="0" w:space="0" w:color="auto"/>
        <w:bottom w:val="none" w:sz="0" w:space="0" w:color="auto"/>
        <w:right w:val="none" w:sz="0" w:space="0" w:color="auto"/>
      </w:divBdr>
    </w:div>
    <w:div w:id="1334378758">
      <w:bodyDiv w:val="1"/>
      <w:marLeft w:val="0"/>
      <w:marRight w:val="0"/>
      <w:marTop w:val="0"/>
      <w:marBottom w:val="0"/>
      <w:divBdr>
        <w:top w:val="none" w:sz="0" w:space="0" w:color="auto"/>
        <w:left w:val="none" w:sz="0" w:space="0" w:color="auto"/>
        <w:bottom w:val="none" w:sz="0" w:space="0" w:color="auto"/>
        <w:right w:val="none" w:sz="0" w:space="0" w:color="auto"/>
      </w:divBdr>
    </w:div>
    <w:div w:id="1337224483">
      <w:bodyDiv w:val="1"/>
      <w:marLeft w:val="0"/>
      <w:marRight w:val="0"/>
      <w:marTop w:val="0"/>
      <w:marBottom w:val="0"/>
      <w:divBdr>
        <w:top w:val="none" w:sz="0" w:space="0" w:color="auto"/>
        <w:left w:val="none" w:sz="0" w:space="0" w:color="auto"/>
        <w:bottom w:val="none" w:sz="0" w:space="0" w:color="auto"/>
        <w:right w:val="none" w:sz="0" w:space="0" w:color="auto"/>
      </w:divBdr>
    </w:div>
    <w:div w:id="1337343837">
      <w:bodyDiv w:val="1"/>
      <w:marLeft w:val="0"/>
      <w:marRight w:val="0"/>
      <w:marTop w:val="0"/>
      <w:marBottom w:val="0"/>
      <w:divBdr>
        <w:top w:val="none" w:sz="0" w:space="0" w:color="auto"/>
        <w:left w:val="none" w:sz="0" w:space="0" w:color="auto"/>
        <w:bottom w:val="none" w:sz="0" w:space="0" w:color="auto"/>
        <w:right w:val="none" w:sz="0" w:space="0" w:color="auto"/>
      </w:divBdr>
    </w:div>
    <w:div w:id="1344013570">
      <w:bodyDiv w:val="1"/>
      <w:marLeft w:val="0"/>
      <w:marRight w:val="0"/>
      <w:marTop w:val="0"/>
      <w:marBottom w:val="0"/>
      <w:divBdr>
        <w:top w:val="none" w:sz="0" w:space="0" w:color="auto"/>
        <w:left w:val="none" w:sz="0" w:space="0" w:color="auto"/>
        <w:bottom w:val="none" w:sz="0" w:space="0" w:color="auto"/>
        <w:right w:val="none" w:sz="0" w:space="0" w:color="auto"/>
      </w:divBdr>
    </w:div>
    <w:div w:id="1362512499">
      <w:bodyDiv w:val="1"/>
      <w:marLeft w:val="0"/>
      <w:marRight w:val="0"/>
      <w:marTop w:val="0"/>
      <w:marBottom w:val="0"/>
      <w:divBdr>
        <w:top w:val="none" w:sz="0" w:space="0" w:color="auto"/>
        <w:left w:val="none" w:sz="0" w:space="0" w:color="auto"/>
        <w:bottom w:val="none" w:sz="0" w:space="0" w:color="auto"/>
        <w:right w:val="none" w:sz="0" w:space="0" w:color="auto"/>
      </w:divBdr>
    </w:div>
    <w:div w:id="1393961348">
      <w:bodyDiv w:val="1"/>
      <w:marLeft w:val="0"/>
      <w:marRight w:val="0"/>
      <w:marTop w:val="0"/>
      <w:marBottom w:val="0"/>
      <w:divBdr>
        <w:top w:val="none" w:sz="0" w:space="0" w:color="auto"/>
        <w:left w:val="none" w:sz="0" w:space="0" w:color="auto"/>
        <w:bottom w:val="none" w:sz="0" w:space="0" w:color="auto"/>
        <w:right w:val="none" w:sz="0" w:space="0" w:color="auto"/>
      </w:divBdr>
    </w:div>
    <w:div w:id="1397240433">
      <w:bodyDiv w:val="1"/>
      <w:marLeft w:val="0"/>
      <w:marRight w:val="0"/>
      <w:marTop w:val="0"/>
      <w:marBottom w:val="0"/>
      <w:divBdr>
        <w:top w:val="none" w:sz="0" w:space="0" w:color="auto"/>
        <w:left w:val="none" w:sz="0" w:space="0" w:color="auto"/>
        <w:bottom w:val="none" w:sz="0" w:space="0" w:color="auto"/>
        <w:right w:val="none" w:sz="0" w:space="0" w:color="auto"/>
      </w:divBdr>
    </w:div>
    <w:div w:id="1410227297">
      <w:bodyDiv w:val="1"/>
      <w:marLeft w:val="0"/>
      <w:marRight w:val="0"/>
      <w:marTop w:val="0"/>
      <w:marBottom w:val="0"/>
      <w:divBdr>
        <w:top w:val="none" w:sz="0" w:space="0" w:color="auto"/>
        <w:left w:val="none" w:sz="0" w:space="0" w:color="auto"/>
        <w:bottom w:val="none" w:sz="0" w:space="0" w:color="auto"/>
        <w:right w:val="none" w:sz="0" w:space="0" w:color="auto"/>
      </w:divBdr>
    </w:div>
    <w:div w:id="1446146730">
      <w:bodyDiv w:val="1"/>
      <w:marLeft w:val="0"/>
      <w:marRight w:val="0"/>
      <w:marTop w:val="0"/>
      <w:marBottom w:val="0"/>
      <w:divBdr>
        <w:top w:val="none" w:sz="0" w:space="0" w:color="auto"/>
        <w:left w:val="none" w:sz="0" w:space="0" w:color="auto"/>
        <w:bottom w:val="none" w:sz="0" w:space="0" w:color="auto"/>
        <w:right w:val="none" w:sz="0" w:space="0" w:color="auto"/>
      </w:divBdr>
    </w:div>
    <w:div w:id="1472207050">
      <w:bodyDiv w:val="1"/>
      <w:marLeft w:val="0"/>
      <w:marRight w:val="0"/>
      <w:marTop w:val="0"/>
      <w:marBottom w:val="0"/>
      <w:divBdr>
        <w:top w:val="none" w:sz="0" w:space="0" w:color="auto"/>
        <w:left w:val="none" w:sz="0" w:space="0" w:color="auto"/>
        <w:bottom w:val="none" w:sz="0" w:space="0" w:color="auto"/>
        <w:right w:val="none" w:sz="0" w:space="0" w:color="auto"/>
      </w:divBdr>
    </w:div>
    <w:div w:id="1526628209">
      <w:bodyDiv w:val="1"/>
      <w:marLeft w:val="0"/>
      <w:marRight w:val="0"/>
      <w:marTop w:val="0"/>
      <w:marBottom w:val="0"/>
      <w:divBdr>
        <w:top w:val="none" w:sz="0" w:space="0" w:color="auto"/>
        <w:left w:val="none" w:sz="0" w:space="0" w:color="auto"/>
        <w:bottom w:val="none" w:sz="0" w:space="0" w:color="auto"/>
        <w:right w:val="none" w:sz="0" w:space="0" w:color="auto"/>
      </w:divBdr>
    </w:div>
    <w:div w:id="1559439914">
      <w:bodyDiv w:val="1"/>
      <w:marLeft w:val="0"/>
      <w:marRight w:val="0"/>
      <w:marTop w:val="0"/>
      <w:marBottom w:val="0"/>
      <w:divBdr>
        <w:top w:val="none" w:sz="0" w:space="0" w:color="auto"/>
        <w:left w:val="none" w:sz="0" w:space="0" w:color="auto"/>
        <w:bottom w:val="none" w:sz="0" w:space="0" w:color="auto"/>
        <w:right w:val="none" w:sz="0" w:space="0" w:color="auto"/>
      </w:divBdr>
    </w:div>
    <w:div w:id="1561088533">
      <w:bodyDiv w:val="1"/>
      <w:marLeft w:val="0"/>
      <w:marRight w:val="0"/>
      <w:marTop w:val="0"/>
      <w:marBottom w:val="0"/>
      <w:divBdr>
        <w:top w:val="none" w:sz="0" w:space="0" w:color="auto"/>
        <w:left w:val="none" w:sz="0" w:space="0" w:color="auto"/>
        <w:bottom w:val="none" w:sz="0" w:space="0" w:color="auto"/>
        <w:right w:val="none" w:sz="0" w:space="0" w:color="auto"/>
      </w:divBdr>
    </w:div>
    <w:div w:id="1561288260">
      <w:bodyDiv w:val="1"/>
      <w:marLeft w:val="0"/>
      <w:marRight w:val="0"/>
      <w:marTop w:val="0"/>
      <w:marBottom w:val="0"/>
      <w:divBdr>
        <w:top w:val="none" w:sz="0" w:space="0" w:color="auto"/>
        <w:left w:val="none" w:sz="0" w:space="0" w:color="auto"/>
        <w:bottom w:val="none" w:sz="0" w:space="0" w:color="auto"/>
        <w:right w:val="none" w:sz="0" w:space="0" w:color="auto"/>
      </w:divBdr>
    </w:div>
    <w:div w:id="1576932897">
      <w:bodyDiv w:val="1"/>
      <w:marLeft w:val="0"/>
      <w:marRight w:val="0"/>
      <w:marTop w:val="0"/>
      <w:marBottom w:val="0"/>
      <w:divBdr>
        <w:top w:val="none" w:sz="0" w:space="0" w:color="auto"/>
        <w:left w:val="none" w:sz="0" w:space="0" w:color="auto"/>
        <w:bottom w:val="none" w:sz="0" w:space="0" w:color="auto"/>
        <w:right w:val="none" w:sz="0" w:space="0" w:color="auto"/>
      </w:divBdr>
    </w:div>
    <w:div w:id="1584492968">
      <w:bodyDiv w:val="1"/>
      <w:marLeft w:val="0"/>
      <w:marRight w:val="0"/>
      <w:marTop w:val="0"/>
      <w:marBottom w:val="0"/>
      <w:divBdr>
        <w:top w:val="none" w:sz="0" w:space="0" w:color="auto"/>
        <w:left w:val="none" w:sz="0" w:space="0" w:color="auto"/>
        <w:bottom w:val="none" w:sz="0" w:space="0" w:color="auto"/>
        <w:right w:val="none" w:sz="0" w:space="0" w:color="auto"/>
      </w:divBdr>
    </w:div>
    <w:div w:id="1599752192">
      <w:bodyDiv w:val="1"/>
      <w:marLeft w:val="0"/>
      <w:marRight w:val="0"/>
      <w:marTop w:val="0"/>
      <w:marBottom w:val="0"/>
      <w:divBdr>
        <w:top w:val="none" w:sz="0" w:space="0" w:color="auto"/>
        <w:left w:val="none" w:sz="0" w:space="0" w:color="auto"/>
        <w:bottom w:val="none" w:sz="0" w:space="0" w:color="auto"/>
        <w:right w:val="none" w:sz="0" w:space="0" w:color="auto"/>
      </w:divBdr>
    </w:div>
    <w:div w:id="1665662995">
      <w:bodyDiv w:val="1"/>
      <w:marLeft w:val="0"/>
      <w:marRight w:val="0"/>
      <w:marTop w:val="0"/>
      <w:marBottom w:val="0"/>
      <w:divBdr>
        <w:top w:val="none" w:sz="0" w:space="0" w:color="auto"/>
        <w:left w:val="none" w:sz="0" w:space="0" w:color="auto"/>
        <w:bottom w:val="none" w:sz="0" w:space="0" w:color="auto"/>
        <w:right w:val="none" w:sz="0" w:space="0" w:color="auto"/>
      </w:divBdr>
    </w:div>
    <w:div w:id="1679771167">
      <w:bodyDiv w:val="1"/>
      <w:marLeft w:val="0"/>
      <w:marRight w:val="0"/>
      <w:marTop w:val="0"/>
      <w:marBottom w:val="0"/>
      <w:divBdr>
        <w:top w:val="none" w:sz="0" w:space="0" w:color="auto"/>
        <w:left w:val="none" w:sz="0" w:space="0" w:color="auto"/>
        <w:bottom w:val="none" w:sz="0" w:space="0" w:color="auto"/>
        <w:right w:val="none" w:sz="0" w:space="0" w:color="auto"/>
      </w:divBdr>
    </w:div>
    <w:div w:id="1683319017">
      <w:bodyDiv w:val="1"/>
      <w:marLeft w:val="0"/>
      <w:marRight w:val="0"/>
      <w:marTop w:val="0"/>
      <w:marBottom w:val="0"/>
      <w:divBdr>
        <w:top w:val="none" w:sz="0" w:space="0" w:color="auto"/>
        <w:left w:val="none" w:sz="0" w:space="0" w:color="auto"/>
        <w:bottom w:val="none" w:sz="0" w:space="0" w:color="auto"/>
        <w:right w:val="none" w:sz="0" w:space="0" w:color="auto"/>
      </w:divBdr>
    </w:div>
    <w:div w:id="1749570560">
      <w:bodyDiv w:val="1"/>
      <w:marLeft w:val="0"/>
      <w:marRight w:val="0"/>
      <w:marTop w:val="0"/>
      <w:marBottom w:val="0"/>
      <w:divBdr>
        <w:top w:val="none" w:sz="0" w:space="0" w:color="auto"/>
        <w:left w:val="none" w:sz="0" w:space="0" w:color="auto"/>
        <w:bottom w:val="none" w:sz="0" w:space="0" w:color="auto"/>
        <w:right w:val="none" w:sz="0" w:space="0" w:color="auto"/>
      </w:divBdr>
    </w:div>
    <w:div w:id="1756248243">
      <w:bodyDiv w:val="1"/>
      <w:marLeft w:val="0"/>
      <w:marRight w:val="0"/>
      <w:marTop w:val="0"/>
      <w:marBottom w:val="0"/>
      <w:divBdr>
        <w:top w:val="none" w:sz="0" w:space="0" w:color="auto"/>
        <w:left w:val="none" w:sz="0" w:space="0" w:color="auto"/>
        <w:bottom w:val="none" w:sz="0" w:space="0" w:color="auto"/>
        <w:right w:val="none" w:sz="0" w:space="0" w:color="auto"/>
      </w:divBdr>
    </w:div>
    <w:div w:id="1782989842">
      <w:bodyDiv w:val="1"/>
      <w:marLeft w:val="0"/>
      <w:marRight w:val="0"/>
      <w:marTop w:val="0"/>
      <w:marBottom w:val="0"/>
      <w:divBdr>
        <w:top w:val="none" w:sz="0" w:space="0" w:color="auto"/>
        <w:left w:val="none" w:sz="0" w:space="0" w:color="auto"/>
        <w:bottom w:val="none" w:sz="0" w:space="0" w:color="auto"/>
        <w:right w:val="none" w:sz="0" w:space="0" w:color="auto"/>
      </w:divBdr>
    </w:div>
    <w:div w:id="1787119874">
      <w:bodyDiv w:val="1"/>
      <w:marLeft w:val="0"/>
      <w:marRight w:val="0"/>
      <w:marTop w:val="0"/>
      <w:marBottom w:val="0"/>
      <w:divBdr>
        <w:top w:val="none" w:sz="0" w:space="0" w:color="auto"/>
        <w:left w:val="none" w:sz="0" w:space="0" w:color="auto"/>
        <w:bottom w:val="none" w:sz="0" w:space="0" w:color="auto"/>
        <w:right w:val="none" w:sz="0" w:space="0" w:color="auto"/>
      </w:divBdr>
    </w:div>
    <w:div w:id="1790278869">
      <w:bodyDiv w:val="1"/>
      <w:marLeft w:val="0"/>
      <w:marRight w:val="0"/>
      <w:marTop w:val="0"/>
      <w:marBottom w:val="0"/>
      <w:divBdr>
        <w:top w:val="none" w:sz="0" w:space="0" w:color="auto"/>
        <w:left w:val="none" w:sz="0" w:space="0" w:color="auto"/>
        <w:bottom w:val="none" w:sz="0" w:space="0" w:color="auto"/>
        <w:right w:val="none" w:sz="0" w:space="0" w:color="auto"/>
      </w:divBdr>
    </w:div>
    <w:div w:id="1804079754">
      <w:bodyDiv w:val="1"/>
      <w:marLeft w:val="0"/>
      <w:marRight w:val="0"/>
      <w:marTop w:val="0"/>
      <w:marBottom w:val="0"/>
      <w:divBdr>
        <w:top w:val="none" w:sz="0" w:space="0" w:color="auto"/>
        <w:left w:val="none" w:sz="0" w:space="0" w:color="auto"/>
        <w:bottom w:val="none" w:sz="0" w:space="0" w:color="auto"/>
        <w:right w:val="none" w:sz="0" w:space="0" w:color="auto"/>
      </w:divBdr>
    </w:div>
    <w:div w:id="1812822968">
      <w:bodyDiv w:val="1"/>
      <w:marLeft w:val="0"/>
      <w:marRight w:val="0"/>
      <w:marTop w:val="0"/>
      <w:marBottom w:val="0"/>
      <w:divBdr>
        <w:top w:val="none" w:sz="0" w:space="0" w:color="auto"/>
        <w:left w:val="none" w:sz="0" w:space="0" w:color="auto"/>
        <w:bottom w:val="none" w:sz="0" w:space="0" w:color="auto"/>
        <w:right w:val="none" w:sz="0" w:space="0" w:color="auto"/>
      </w:divBdr>
    </w:div>
    <w:div w:id="182612412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96893014">
      <w:bodyDiv w:val="1"/>
      <w:marLeft w:val="0"/>
      <w:marRight w:val="0"/>
      <w:marTop w:val="0"/>
      <w:marBottom w:val="0"/>
      <w:divBdr>
        <w:top w:val="none" w:sz="0" w:space="0" w:color="auto"/>
        <w:left w:val="none" w:sz="0" w:space="0" w:color="auto"/>
        <w:bottom w:val="none" w:sz="0" w:space="0" w:color="auto"/>
        <w:right w:val="none" w:sz="0" w:space="0" w:color="auto"/>
      </w:divBdr>
    </w:div>
    <w:div w:id="1904292453">
      <w:bodyDiv w:val="1"/>
      <w:marLeft w:val="0"/>
      <w:marRight w:val="0"/>
      <w:marTop w:val="0"/>
      <w:marBottom w:val="0"/>
      <w:divBdr>
        <w:top w:val="none" w:sz="0" w:space="0" w:color="auto"/>
        <w:left w:val="none" w:sz="0" w:space="0" w:color="auto"/>
        <w:bottom w:val="none" w:sz="0" w:space="0" w:color="auto"/>
        <w:right w:val="none" w:sz="0" w:space="0" w:color="auto"/>
      </w:divBdr>
    </w:div>
    <w:div w:id="1905221172">
      <w:bodyDiv w:val="1"/>
      <w:marLeft w:val="0"/>
      <w:marRight w:val="0"/>
      <w:marTop w:val="0"/>
      <w:marBottom w:val="0"/>
      <w:divBdr>
        <w:top w:val="none" w:sz="0" w:space="0" w:color="auto"/>
        <w:left w:val="none" w:sz="0" w:space="0" w:color="auto"/>
        <w:bottom w:val="none" w:sz="0" w:space="0" w:color="auto"/>
        <w:right w:val="none" w:sz="0" w:space="0" w:color="auto"/>
      </w:divBdr>
    </w:div>
    <w:div w:id="1951937770">
      <w:bodyDiv w:val="1"/>
      <w:marLeft w:val="0"/>
      <w:marRight w:val="0"/>
      <w:marTop w:val="0"/>
      <w:marBottom w:val="0"/>
      <w:divBdr>
        <w:top w:val="none" w:sz="0" w:space="0" w:color="auto"/>
        <w:left w:val="none" w:sz="0" w:space="0" w:color="auto"/>
        <w:bottom w:val="none" w:sz="0" w:space="0" w:color="auto"/>
        <w:right w:val="none" w:sz="0" w:space="0" w:color="auto"/>
      </w:divBdr>
    </w:div>
    <w:div w:id="1979335963">
      <w:bodyDiv w:val="1"/>
      <w:marLeft w:val="0"/>
      <w:marRight w:val="0"/>
      <w:marTop w:val="0"/>
      <w:marBottom w:val="0"/>
      <w:divBdr>
        <w:top w:val="none" w:sz="0" w:space="0" w:color="auto"/>
        <w:left w:val="none" w:sz="0" w:space="0" w:color="auto"/>
        <w:bottom w:val="none" w:sz="0" w:space="0" w:color="auto"/>
        <w:right w:val="none" w:sz="0" w:space="0" w:color="auto"/>
      </w:divBdr>
    </w:div>
    <w:div w:id="2011367423">
      <w:bodyDiv w:val="1"/>
      <w:marLeft w:val="0"/>
      <w:marRight w:val="0"/>
      <w:marTop w:val="0"/>
      <w:marBottom w:val="0"/>
      <w:divBdr>
        <w:top w:val="none" w:sz="0" w:space="0" w:color="auto"/>
        <w:left w:val="none" w:sz="0" w:space="0" w:color="auto"/>
        <w:bottom w:val="none" w:sz="0" w:space="0" w:color="auto"/>
        <w:right w:val="none" w:sz="0" w:space="0" w:color="auto"/>
      </w:divBdr>
    </w:div>
    <w:div w:id="2013530113">
      <w:bodyDiv w:val="1"/>
      <w:marLeft w:val="0"/>
      <w:marRight w:val="0"/>
      <w:marTop w:val="0"/>
      <w:marBottom w:val="0"/>
      <w:divBdr>
        <w:top w:val="none" w:sz="0" w:space="0" w:color="auto"/>
        <w:left w:val="none" w:sz="0" w:space="0" w:color="auto"/>
        <w:bottom w:val="none" w:sz="0" w:space="0" w:color="auto"/>
        <w:right w:val="none" w:sz="0" w:space="0" w:color="auto"/>
      </w:divBdr>
    </w:div>
    <w:div w:id="2040617540">
      <w:bodyDiv w:val="1"/>
      <w:marLeft w:val="0"/>
      <w:marRight w:val="0"/>
      <w:marTop w:val="0"/>
      <w:marBottom w:val="0"/>
      <w:divBdr>
        <w:top w:val="none" w:sz="0" w:space="0" w:color="auto"/>
        <w:left w:val="none" w:sz="0" w:space="0" w:color="auto"/>
        <w:bottom w:val="none" w:sz="0" w:space="0" w:color="auto"/>
        <w:right w:val="none" w:sz="0" w:space="0" w:color="auto"/>
      </w:divBdr>
    </w:div>
    <w:div w:id="2048599983">
      <w:bodyDiv w:val="1"/>
      <w:marLeft w:val="0"/>
      <w:marRight w:val="0"/>
      <w:marTop w:val="0"/>
      <w:marBottom w:val="0"/>
      <w:divBdr>
        <w:top w:val="none" w:sz="0" w:space="0" w:color="auto"/>
        <w:left w:val="none" w:sz="0" w:space="0" w:color="auto"/>
        <w:bottom w:val="none" w:sz="0" w:space="0" w:color="auto"/>
        <w:right w:val="none" w:sz="0" w:space="0" w:color="auto"/>
      </w:divBdr>
    </w:div>
    <w:div w:id="2049986192">
      <w:bodyDiv w:val="1"/>
      <w:marLeft w:val="0"/>
      <w:marRight w:val="0"/>
      <w:marTop w:val="0"/>
      <w:marBottom w:val="0"/>
      <w:divBdr>
        <w:top w:val="none" w:sz="0" w:space="0" w:color="auto"/>
        <w:left w:val="none" w:sz="0" w:space="0" w:color="auto"/>
        <w:bottom w:val="none" w:sz="0" w:space="0" w:color="auto"/>
        <w:right w:val="none" w:sz="0" w:space="0" w:color="auto"/>
      </w:divBdr>
    </w:div>
    <w:div w:id="2066833180">
      <w:bodyDiv w:val="1"/>
      <w:marLeft w:val="0"/>
      <w:marRight w:val="0"/>
      <w:marTop w:val="0"/>
      <w:marBottom w:val="0"/>
      <w:divBdr>
        <w:top w:val="none" w:sz="0" w:space="0" w:color="auto"/>
        <w:left w:val="none" w:sz="0" w:space="0" w:color="auto"/>
        <w:bottom w:val="none" w:sz="0" w:space="0" w:color="auto"/>
        <w:right w:val="none" w:sz="0" w:space="0" w:color="auto"/>
      </w:divBdr>
    </w:div>
    <w:div w:id="2069064903">
      <w:bodyDiv w:val="1"/>
      <w:marLeft w:val="0"/>
      <w:marRight w:val="0"/>
      <w:marTop w:val="0"/>
      <w:marBottom w:val="0"/>
      <w:divBdr>
        <w:top w:val="none" w:sz="0" w:space="0" w:color="auto"/>
        <w:left w:val="none" w:sz="0" w:space="0" w:color="auto"/>
        <w:bottom w:val="none" w:sz="0" w:space="0" w:color="auto"/>
        <w:right w:val="none" w:sz="0" w:space="0" w:color="auto"/>
      </w:divBdr>
    </w:div>
    <w:div w:id="2073236346">
      <w:bodyDiv w:val="1"/>
      <w:marLeft w:val="0"/>
      <w:marRight w:val="0"/>
      <w:marTop w:val="0"/>
      <w:marBottom w:val="0"/>
      <w:divBdr>
        <w:top w:val="none" w:sz="0" w:space="0" w:color="auto"/>
        <w:left w:val="none" w:sz="0" w:space="0" w:color="auto"/>
        <w:bottom w:val="none" w:sz="0" w:space="0" w:color="auto"/>
        <w:right w:val="none" w:sz="0" w:space="0" w:color="auto"/>
      </w:divBdr>
    </w:div>
    <w:div w:id="2074112855">
      <w:bodyDiv w:val="1"/>
      <w:marLeft w:val="0"/>
      <w:marRight w:val="0"/>
      <w:marTop w:val="0"/>
      <w:marBottom w:val="0"/>
      <w:divBdr>
        <w:top w:val="none" w:sz="0" w:space="0" w:color="auto"/>
        <w:left w:val="none" w:sz="0" w:space="0" w:color="auto"/>
        <w:bottom w:val="none" w:sz="0" w:space="0" w:color="auto"/>
        <w:right w:val="none" w:sz="0" w:space="0" w:color="auto"/>
      </w:divBdr>
    </w:div>
    <w:div w:id="2096511135">
      <w:bodyDiv w:val="1"/>
      <w:marLeft w:val="0"/>
      <w:marRight w:val="0"/>
      <w:marTop w:val="0"/>
      <w:marBottom w:val="0"/>
      <w:divBdr>
        <w:top w:val="none" w:sz="0" w:space="0" w:color="auto"/>
        <w:left w:val="none" w:sz="0" w:space="0" w:color="auto"/>
        <w:bottom w:val="none" w:sz="0" w:space="0" w:color="auto"/>
        <w:right w:val="none" w:sz="0" w:space="0" w:color="auto"/>
      </w:divBdr>
    </w:div>
    <w:div w:id="2106415843">
      <w:bodyDiv w:val="1"/>
      <w:marLeft w:val="0"/>
      <w:marRight w:val="0"/>
      <w:marTop w:val="0"/>
      <w:marBottom w:val="0"/>
      <w:divBdr>
        <w:top w:val="none" w:sz="0" w:space="0" w:color="auto"/>
        <w:left w:val="none" w:sz="0" w:space="0" w:color="auto"/>
        <w:bottom w:val="none" w:sz="0" w:space="0" w:color="auto"/>
        <w:right w:val="none" w:sz="0" w:space="0" w:color="auto"/>
      </w:divBdr>
    </w:div>
    <w:div w:id="2136486431">
      <w:bodyDiv w:val="1"/>
      <w:marLeft w:val="0"/>
      <w:marRight w:val="0"/>
      <w:marTop w:val="0"/>
      <w:marBottom w:val="0"/>
      <w:divBdr>
        <w:top w:val="none" w:sz="0" w:space="0" w:color="auto"/>
        <w:left w:val="none" w:sz="0" w:space="0" w:color="auto"/>
        <w:bottom w:val="none" w:sz="0" w:space="0" w:color="auto"/>
        <w:right w:val="none" w:sz="0" w:space="0" w:color="auto"/>
      </w:divBdr>
    </w:div>
    <w:div w:id="21384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www.epa.gov/sites/production/files/2015-12/documents/minrisk-active-ingredients-tolerances-2015-12-15.pdf" TargetMode="External"/><Relationship Id="rId47" Type="http://schemas.openxmlformats.org/officeDocument/2006/relationships/hyperlink" Target="https://www3.epa.gov/pesticides/chem_search/reg_actions/reregistration/fs_PC-080301_1-Apr-98.pdf" TargetMode="External"/><Relationship Id="rId63" Type="http://schemas.openxmlformats.org/officeDocument/2006/relationships/hyperlink" Target="https://www.fda.gov/downloads/Drugs/GuidanceComplianceRegulatoryInformation/Guidances/UCM347725.pdf" TargetMode="External"/><Relationship Id="rId68" Type="http://schemas.openxmlformats.org/officeDocument/2006/relationships/hyperlink" Target="https://www.fda.gov/ucm/groups/fdagov-public/%40fdagov-drugs-gen/documents/document/ucm369043.pdf" TargetMode="External"/><Relationship Id="rId84" Type="http://schemas.openxmlformats.org/officeDocument/2006/relationships/hyperlink" Target="https://www.fda.gov/ucm/groups/fdagov-public/%40fdagov-drugs-gen/documents/document/ucm074937.pdf" TargetMode="External"/><Relationship Id="rId89" Type="http://schemas.openxmlformats.org/officeDocument/2006/relationships/hyperlink" Target="https://www.ncbi.nlm.nih.gov/pubmed/30468827" TargetMode="External"/><Relationship Id="rId7" Type="http://schemas.openxmlformats.org/officeDocument/2006/relationships/endnotes" Target="endnotes.xml"/><Relationship Id="rId71" Type="http://schemas.openxmlformats.org/officeDocument/2006/relationships/hyperlink" Target="https://www.fda.gov/downloads/Drugs/GuidanceComplianceRegulatoryInformation/Guidances/UCM473464.pdf" TargetMode="External"/><Relationship Id="rId92" Type="http://schemas.openxmlformats.org/officeDocument/2006/relationships/hyperlink" Target="https://progressreport.cancer.gov/"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regulations.gov/" TargetMode="Externa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yperlink" Target="https://www.cancer.org/cancer/melanoma-skin-cancer.html?gclid=CMCkj93Uqs4CFYtahgodxIwIYA&amp;mkwid=s_dc" TargetMode="External"/><Relationship Id="rId37" Type="http://schemas.openxmlformats.org/officeDocument/2006/relationships/hyperlink" Target="https://wwwnc.cdc.gov/travel/yellowbook/2018/the-pre-travel-consultation/protection-against-mosquitoes-ticks-other-arthropods" TargetMode="External"/><Relationship Id="rId40" Type="http://schemas.openxmlformats.org/officeDocument/2006/relationships/hyperlink" Target="https://www.ewg.org/research/cdc-americans-carry-body-burden-toxic-sunscreen-chemical" TargetMode="External"/><Relationship Id="rId45" Type="http://schemas.openxmlformats.org/officeDocument/2006/relationships/hyperlink" Target="https://www.epa.gov/insect-repellents/find-repellent-right-you" TargetMode="External"/><Relationship Id="rId53" Type="http://schemas.openxmlformats.org/officeDocument/2006/relationships/hyperlink" Target="http://ec.europa.eu/health/scientific_committees/consumer_safety/opinions/sccnfp_opinions_97_04/sccp_out145_en.htm" TargetMode="External"/><Relationship Id="rId58" Type="http://schemas.openxmlformats.org/officeDocument/2006/relationships/hyperlink" Target="http://www.fda.gov/RegulatoryInformation/Guidances/ucm257698.htm" TargetMode="External"/><Relationship Id="rId66" Type="http://schemas.openxmlformats.org/officeDocument/2006/relationships/hyperlink" Target="https://www.fda.gov/ucm/groups/fdagov-public/%40fdagov-drugs-gen/documents/document/ucm074911.pdf" TargetMode="External"/><Relationship Id="rId74" Type="http://schemas.openxmlformats.org/officeDocument/2006/relationships/hyperlink" Target="https://www.fda.gov/downloads/Drugs/GuidanceComplianceRegulatoryInformation/Guidances/ucm074950.pdf" TargetMode="External"/><Relationship Id="rId79" Type="http://schemas.openxmlformats.org/officeDocument/2006/relationships/hyperlink" Target="https://www.fda.gov/ucm/groups/fdagov-public/%40fdagov-drugs-gen/documents/document/ucm337572.pdf" TargetMode="External"/><Relationship Id="rId87" Type="http://schemas.openxmlformats.org/officeDocument/2006/relationships/hyperlink" Target="http://www.fda.gov/ForConsumers/ConsumerUpdates/ucm359437" TargetMode="External"/><Relationship Id="rId102" Type="http://schemas.openxmlformats.org/officeDocument/2006/relationships/hyperlink" Target="https://www.hhs.gov/surgeongeneral/reports-and-publications/skin-cancer/executive-summary/index.html" TargetMode="External"/><Relationship Id="rId5" Type="http://schemas.openxmlformats.org/officeDocument/2006/relationships/webSettings" Target="webSettings.xml"/><Relationship Id="rId61" Type="http://schemas.openxmlformats.org/officeDocument/2006/relationships/hyperlink" Target="https://www.accessdata.fda.gov/scripts/cder/iig/index.cfm" TargetMode="External"/><Relationship Id="rId82" Type="http://schemas.openxmlformats.org/officeDocument/2006/relationships/hyperlink" Target="https://www.fda.gov/AboutFDA/ReportsManualsForms/Reports/EconomicAnalyses/default.htm%2Caccessed" TargetMode="External"/><Relationship Id="rId90" Type="http://schemas.openxmlformats.org/officeDocument/2006/relationships/hyperlink" Target="https://jamanetwork.com/journals/jama/fullarticle/2759002" TargetMode="External"/><Relationship Id="rId95" Type="http://schemas.openxmlformats.org/officeDocument/2006/relationships/hyperlink" Target="https://ntp.niehs.nih.gov/testing/noms/search/summary/nm-n79456.html" TargetMode="External"/><Relationship Id="rId19" Type="http://schemas.openxmlformats.org/officeDocument/2006/relationships/image" Target="media/image8.png"/><Relationship Id="rId14" Type="http://schemas.openxmlformats.org/officeDocument/2006/relationships/hyperlink" Target="https://www.regulations.gov/"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www.regulations.gov/" TargetMode="External"/><Relationship Id="rId35" Type="http://schemas.openxmlformats.org/officeDocument/2006/relationships/hyperlink" Target="http://www.healthychildren.org/English/safety-prevention/at-play/Pages/Insect-Repellents.aspx?rf" TargetMode="External"/><Relationship Id="rId43" Type="http://schemas.openxmlformats.org/officeDocument/2006/relationships/hyperlink" Target="https://www.epa.gov/sites/production/files/2017-10/documents/chap-03-dec-2014.pdf" TargetMode="External"/><Relationship Id="rId48" Type="http://schemas.openxmlformats.org/officeDocument/2006/relationships/hyperlink" Target="https://www.epa.gov/insect-repellents/using-insect-repellents-safely-and-effectively" TargetMode="External"/><Relationship Id="rId56" Type="http://schemas.openxmlformats.org/officeDocument/2006/relationships/hyperlink" Target="https://www.fda.gov/ucm/groups/fdagov-public/%40fdagov-drugs-gen/documents/document/ucm078924.pdf" TargetMode="External"/><Relationship Id="rId64" Type="http://schemas.openxmlformats.org/officeDocument/2006/relationships/hyperlink" Target="https://www.fda.gov/ucm/groups/fdagov-public/%40fdagov-drugs-gen/documents/document/ucm608356.pdf" TargetMode="External"/><Relationship Id="rId69" Type="http://schemas.openxmlformats.org/officeDocument/2006/relationships/hyperlink" Target="https://www.fda.gov/ucm/groups/fdagov-public/%40fdagov-drugs-gen/documents/document/ucm369043.pdf" TargetMode="External"/><Relationship Id="rId77" Type="http://schemas.openxmlformats.org/officeDocument/2006/relationships/hyperlink" Target="https://www.fda.gov/regulatory-information/search-fda-guidance-documents/s5r3-detection-reproductive-and-developmental-toxicity-human-pharmaceuticals" TargetMode="External"/><Relationship Id="rId100" Type="http://schemas.openxmlformats.org/officeDocument/2006/relationships/hyperlink" Target="https://www.eurekalert.org/pub_releases/2006-11/src-swb110606.php" TargetMode="External"/><Relationship Id="rId105" Type="http://schemas.openxmlformats.org/officeDocument/2006/relationships/theme" Target="theme/theme1.xml"/><Relationship Id="rId8" Type="http://schemas.openxmlformats.org/officeDocument/2006/relationships/hyperlink" Target="https://www.accessdata.fda.gov/scripts/cder/omuf/index.cfm" TargetMode="External"/><Relationship Id="rId51" Type="http://schemas.openxmlformats.org/officeDocument/2006/relationships/hyperlink" Target="https://ec.europa.eu/health/ph_risk/committees/04_sccp/docs/sccp_o_159.pdf" TargetMode="External"/><Relationship Id="rId72" Type="http://schemas.openxmlformats.org/officeDocument/2006/relationships/hyperlink" Target="https://www.fda.gov/downloads/Drugs/GuidanceComplianceRegulatoryInformation/Guidances/UCM473464.pdf" TargetMode="External"/><Relationship Id="rId80" Type="http://schemas.openxmlformats.org/officeDocument/2006/relationships/hyperlink" Target="https://www.fda.gov/drugs/resourcesforyou/consumers/buyingusingmedicinesafely/understandingover-the-countermedicines/ucm239463.htm" TargetMode="External"/><Relationship Id="rId85" Type="http://schemas.openxmlformats.org/officeDocument/2006/relationships/hyperlink" Target="https://www.fda.gov/ucm/groups/fdagov-public/%40fdagov-drugs-gen/documents/document/ucm074937.pdf" TargetMode="External"/><Relationship Id="rId93" Type="http://schemas.openxmlformats.org/officeDocument/2006/relationships/hyperlink" Target="http://www.nano.gov/sites/default/files/pub_resource/2014_nni_strategic_plan.pdf" TargetMode="External"/><Relationship Id="rId98" Type="http://schemas.openxmlformats.org/officeDocument/2006/relationships/hyperlink" Target="https://ntp.niehs.nih.gov/testing/status/agents/ts-10260-s.html"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www.accessdata.fda.gov/scripts/cder/omuf/" TargetMode="External"/><Relationship Id="rId25" Type="http://schemas.openxmlformats.org/officeDocument/2006/relationships/image" Target="media/image14.png"/><Relationship Id="rId33" Type="http://schemas.openxmlformats.org/officeDocument/2006/relationships/hyperlink" Target="https://www.cancer.org/cancer/melanoma-skin-cancer.html?gclid=CMCkj93Uqs4CFYtahgodxIwIYA&amp;mkwid=s_dc" TargetMode="External"/><Relationship Id="rId38" Type="http://schemas.openxmlformats.org/officeDocument/2006/relationships/hyperlink" Target="https://www.cdc.gov/cancer/skin/basic_info/sun-safety.htm" TargetMode="External"/><Relationship Id="rId46" Type="http://schemas.openxmlformats.org/officeDocument/2006/relationships/hyperlink" Target="https://www3.epa.gov/pesticides/chem_search/reg_actions/reregistration/fs_PC-080301_1-Apr-98.pdf" TargetMode="External"/><Relationship Id="rId59" Type="http://schemas.openxmlformats.org/officeDocument/2006/relationships/hyperlink" Target="https://www.fda.gov/Drugs/GuidanceComplianceRegulatoryInformation/Guidances/UCM259001" TargetMode="External"/><Relationship Id="rId67" Type="http://schemas.openxmlformats.org/officeDocument/2006/relationships/hyperlink" Target="https://www.fda.gov/ucm/groups/fdagov-public/%40fdagov-drugs-gen/documents/document/ucm074911.pdf" TargetMode="External"/><Relationship Id="rId103"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hyperlink" Target="https://www.epa.gov/sites/production/files/2015-12/documents/minrisk-active-ingredients-tolerances-2015-12-15.pdf" TargetMode="External"/><Relationship Id="rId54" Type="http://schemas.openxmlformats.org/officeDocument/2006/relationships/hyperlink" Target="http://ec.europa.eu/health/scientific_committees/consumer_safety/docs/sccs_o_136.pdf" TargetMode="External"/><Relationship Id="rId62" Type="http://schemas.openxmlformats.org/officeDocument/2006/relationships/hyperlink" Target="https://www.fda.gov/downloads/Drugs/GuidanceComplianceRegulatoryInformation/Guidances/UCM347725.pdf" TargetMode="External"/><Relationship Id="rId70" Type="http://schemas.openxmlformats.org/officeDocument/2006/relationships/hyperlink" Target="http://www.fda.gov/downloads/AdvisoryCommittees/Committees" TargetMode="External"/><Relationship Id="rId75" Type="http://schemas.openxmlformats.org/officeDocument/2006/relationships/hyperlink" Target="https://www.fda.gov/regulatory-information/search-fda-guidance-documents/s5r3-detection-reproductive-and-developmental-toxicity-human-pharmaceuticals" TargetMode="External"/><Relationship Id="rId83" Type="http://schemas.openxmlformats.org/officeDocument/2006/relationships/hyperlink" Target="https://www.fda.gov/AboutFDA/ReportsManualsForms/Reports/EconomicAnalyses/default.htm%2Caccessed" TargetMode="External"/><Relationship Id="rId88" Type="http://schemas.openxmlformats.org/officeDocument/2006/relationships/hyperlink" Target="https://www.iso.org/standard/74167.html" TargetMode="External"/><Relationship Id="rId91" Type="http://schemas.openxmlformats.org/officeDocument/2006/relationships/hyperlink" Target="https://jamanetwork.com/journals/jama/fullarticle/2733085" TargetMode="External"/><Relationship Id="rId96" Type="http://schemas.openxmlformats.org/officeDocument/2006/relationships/hyperlink" Target="https://ntp.niehs.nih.gov/ntp/htdocs/lt_rpts/tr518.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nc.cdc.gov/travel/yellowbook/2018/the-pre-travel-consultation/protection-against-mosquitoes-ticks-other-arthropods" TargetMode="External"/><Relationship Id="rId49" Type="http://schemas.openxmlformats.org/officeDocument/2006/relationships/hyperlink" Target="http://eur-lex.europa.eu/legal-content/EN/TXT/PDF/?uri=CELEX%3A32006H0647&amp;from=EN" TargetMode="External"/><Relationship Id="rId57" Type="http://schemas.openxmlformats.org/officeDocument/2006/relationships/hyperlink" Target="https://www.fda.gov/ucm/groups/fdagov-public/%40fdagov-drugs-gen/documents/document/ucm078924.pdf" TargetMode="External"/><Relationship Id="rId10" Type="http://schemas.openxmlformats.org/officeDocument/2006/relationships/hyperlink" Target="https://www.fda.gov/RegulatoryInformation/Guidances/default.htm" TargetMode="External"/><Relationship Id="rId31" Type="http://schemas.openxmlformats.org/officeDocument/2006/relationships/hyperlink" Target="http://www.regulations.gov/" TargetMode="External"/><Relationship Id="rId44" Type="http://schemas.openxmlformats.org/officeDocument/2006/relationships/hyperlink" Target="https://www.epa.gov/insect-repellents/deet" TargetMode="External"/><Relationship Id="rId52" Type="http://schemas.openxmlformats.org/officeDocument/2006/relationships/hyperlink" Target="http://ec.europa.eu/health/scientific_committees/consumer_safety/opinions/sccnfp_opinions_97_04/sccp_out145_en.htm" TargetMode="External"/><Relationship Id="rId60" Type="http://schemas.openxmlformats.org/officeDocument/2006/relationships/hyperlink" Target="https://www.fda.gov/Drugs/GuidanceComplianceRegulatoryInformation/Guidances/UCM259001" TargetMode="External"/><Relationship Id="rId65" Type="http://schemas.openxmlformats.org/officeDocument/2006/relationships/hyperlink" Target="https://www.fda.gov/ucm/groups/fdagov-public/%40fdagov-drugs-gen/documents/document/ucm608356.pdf" TargetMode="External"/><Relationship Id="rId73" Type="http://schemas.openxmlformats.org/officeDocument/2006/relationships/hyperlink" Target="https://www.fda.gov/downloads/Drugs/GuidanceComplianceRegulatoryInformation/Guidances/ucm074950.pdf" TargetMode="External"/><Relationship Id="rId78" Type="http://schemas.openxmlformats.org/officeDocument/2006/relationships/hyperlink" Target="https://www.fda.gov/ucm/groups/fdagov-public/%40fdagov-drugs-gen/documents/document/ucm337572.pdf" TargetMode="External"/><Relationship Id="rId81" Type="http://schemas.openxmlformats.org/officeDocument/2006/relationships/hyperlink" Target="https://www.fda.gov/drugs/resourcesforyou/consumers/buyingusingmedicinesafely/understandingover-the-countermedicines/ucm239463.htm" TargetMode="External"/><Relationship Id="rId86" Type="http://schemas.openxmlformats.org/officeDocument/2006/relationships/hyperlink" Target="http://wayback.archive-/" TargetMode="External"/><Relationship Id="rId94" Type="http://schemas.openxmlformats.org/officeDocument/2006/relationships/hyperlink" Target="https://ntp.niehs.nih.gov/testing/noms/search/summary/nm-n79456.html" TargetMode="External"/><Relationship Id="rId99" Type="http://schemas.openxmlformats.org/officeDocument/2006/relationships/hyperlink" Target="https://www.eurekalert.org/pub_releases/2006-11/src-swb110606.php" TargetMode="External"/><Relationship Id="rId101" Type="http://schemas.openxmlformats.org/officeDocument/2006/relationships/hyperlink" Target="https://www.hhs.gov/surgeongeneral/reports-and-publications/skin-cancer/executive-summary/index.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7.png"/><Relationship Id="rId39" Type="http://schemas.openxmlformats.org/officeDocument/2006/relationships/hyperlink" Target="https://www.ewg.org/research/cdc-americans-carry-body-burden-toxic-sunscreen-chemical" TargetMode="External"/><Relationship Id="rId34" Type="http://schemas.openxmlformats.org/officeDocument/2006/relationships/hyperlink" Target="https://www.cancer.org/cancer/melanoma-skin-cancer.html" TargetMode="External"/><Relationship Id="rId50" Type="http://schemas.openxmlformats.org/officeDocument/2006/relationships/hyperlink" Target="http://eur-lex.europa.eu/legal-content/EN/TXT/PDF/?uri=CELEX%3A32006H0647&amp;from=EN" TargetMode="External"/><Relationship Id="rId55" Type="http://schemas.openxmlformats.org/officeDocument/2006/relationships/hyperlink" Target="http://ec.europa.eu/health/scientific_committees/consumer_safety/docs/sccs_o_103.pdf" TargetMode="External"/><Relationship Id="rId76" Type="http://schemas.openxmlformats.org/officeDocument/2006/relationships/hyperlink" Target="https://www.fda.gov/regulatory-information/search-fda-guidance-documents/s5r3-detection-reproductive-and-developmental-toxicity-human-pharmaceuticals" TargetMode="External"/><Relationship Id="rId97" Type="http://schemas.openxmlformats.org/officeDocument/2006/relationships/hyperlink" Target="https://ntp.niehs.nih.gov/ntp/htdocs/lt_rpts/tr449.pdf" TargetMode="External"/><Relationship Id="rId10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fda.gov/aboutfda/partnershipscollaborations/memorandaofunderstandingmous/domesticmous/ucm1158" TargetMode="External"/><Relationship Id="rId3" Type="http://schemas.openxmlformats.org/officeDocument/2006/relationships/hyperlink" Target="https://www.accessdata.fda.gov/scripts/cder/omuf/index.cfm" TargetMode="External"/><Relationship Id="rId7" Type="http://schemas.openxmlformats.org/officeDocument/2006/relationships/hyperlink" Target="https://www.cancer.gov/publications/dictionaries/cancer-terms?cdrid=687227" TargetMode="External"/><Relationship Id="rId2" Type="http://schemas.openxmlformats.org/officeDocument/2006/relationships/hyperlink" Target="https://www.fda.gov/drugs/guidance-compliance-regulatory-information/regulatory-policy-information-sunscreen-innovation-act" TargetMode="External"/><Relationship Id="rId1" Type="http://schemas.openxmlformats.org/officeDocument/2006/relationships/hyperlink" Target="https://www.fda.gov/drugs/guidance-compliance-regulatory-information/regulatory-policy-information-sunscreen-innovation-act" TargetMode="External"/><Relationship Id="rId6" Type="http://schemas.openxmlformats.org/officeDocument/2006/relationships/hyperlink" Target="https://www.accessdata.fda.gov/scripts/cder/omuf/index.cfm" TargetMode="External"/><Relationship Id="rId5" Type="http://schemas.openxmlformats.org/officeDocument/2006/relationships/hyperlink" Target="https://www.accessdata.fda.gov/scripts/cder/omuf/index.cfm" TargetMode="External"/><Relationship Id="rId4" Type="http://schemas.openxmlformats.org/officeDocument/2006/relationships/hyperlink" Target="https://www.fda.gov/news-events/fda-brief/fda-brief-fda-announces-results-second-sunscreen-absorption-study" TargetMode="External"/><Relationship Id="rId9" Type="http://schemas.openxmlformats.org/officeDocument/2006/relationships/hyperlink" Target="https://www.fda.gov/aboutfda/partnershipscollaborations/memorandaofunderstandingmous/domesticmous/ucm11587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9EB0B-8EFD-42DC-B662-D1A084F5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2497</TotalTime>
  <Pages>153</Pages>
  <Words>33060</Words>
  <Characters>188447</Characters>
  <Application>Microsoft Office Word</Application>
  <DocSecurity>0</DocSecurity>
  <Lines>1570</Lines>
  <Paragraphs>442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dcterms:created xsi:type="dcterms:W3CDTF">2025-01-15T07:14:00Z</dcterms:created>
  <dcterms:modified xsi:type="dcterms:W3CDTF">2025-02-14T08:16:00Z</dcterms:modified>
</cp:coreProperties>
</file>