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D63D" w14:textId="77777777" w:rsidR="00974750" w:rsidRDefault="00974750" w:rsidP="00974750">
      <w:pPr>
        <w:pStyle w:val="2"/>
        <w:shd w:val="clear" w:color="auto" w:fill="FFFFFF"/>
        <w:spacing w:before="0" w:after="0" w:line="585" w:lineRule="atLeast"/>
        <w:jc w:val="center"/>
        <w:rPr>
          <w:rFonts w:ascii="Microsoft YaHei" w:eastAsia="Microsoft YaHei" w:hAnsi="Microsoft YaHei"/>
          <w:bCs w:val="0"/>
          <w:color w:val="333333"/>
          <w:kern w:val="0"/>
          <w:sz w:val="39"/>
          <w:szCs w:val="39"/>
        </w:rPr>
      </w:pPr>
      <w:r>
        <w:rPr>
          <w:rFonts w:ascii="Microsoft YaHei" w:eastAsia="Microsoft YaHei" w:hAnsi="Microsoft YaHei" w:hint="eastAsia"/>
          <w:b/>
          <w:bCs w:val="0"/>
          <w:color w:val="333333"/>
          <w:sz w:val="39"/>
          <w:szCs w:val="39"/>
        </w:rPr>
        <w:t>关于公开征求《化妆品新原料判定研究技术指导原则（征求意见稿）》意见的通知</w:t>
      </w:r>
    </w:p>
    <w:p w14:paraId="0379A3CD" w14:textId="77777777" w:rsidR="00974750" w:rsidRDefault="00974750" w:rsidP="00974750">
      <w:pPr>
        <w:shd w:val="clear" w:color="auto" w:fill="FFFFFF"/>
        <w:spacing w:line="315" w:lineRule="atLeast"/>
        <w:rPr>
          <w:rFonts w:ascii="Microsoft YaHei" w:eastAsia="Microsoft YaHei" w:hAnsi="Microsoft YaHei" w:hint="eastAsia"/>
          <w:color w:val="919191"/>
          <w:szCs w:val="21"/>
        </w:rPr>
      </w:pPr>
      <w:r>
        <w:rPr>
          <w:rFonts w:ascii="Microsoft YaHei" w:eastAsia="Microsoft YaHei" w:hAnsi="Microsoft YaHei" w:hint="eastAsia"/>
          <w:color w:val="919191"/>
          <w:szCs w:val="21"/>
        </w:rPr>
        <w:t>发布时间：2023-01-19</w:t>
      </w:r>
    </w:p>
    <w:p w14:paraId="6C8DA771" w14:textId="77777777" w:rsidR="00974750" w:rsidRDefault="00974750" w:rsidP="00974750">
      <w:pPr>
        <w:pStyle w:val="ab"/>
        <w:shd w:val="clear" w:color="auto" w:fill="FFFFFF"/>
        <w:spacing w:before="0" w:beforeAutospacing="0" w:after="0" w:afterAutospacing="0" w:line="600" w:lineRule="atLeast"/>
        <w:rPr>
          <w:rFonts w:ascii="Microsoft YaHei" w:eastAsia="Microsoft YaHei" w:hAnsi="Microsoft YaHei" w:hint="eastAsia"/>
          <w:color w:val="000000"/>
          <w:lang w:eastAsia="zh-CN"/>
        </w:rPr>
      </w:pPr>
      <w:r>
        <w:rPr>
          <w:rFonts w:ascii="SimSun" w:eastAsia="SimSun" w:hAnsi="SimSun" w:hint="eastAsia"/>
          <w:color w:val="000000"/>
          <w:lang w:eastAsia="zh-CN"/>
        </w:rPr>
        <w:t>各有关单位：</w:t>
      </w:r>
    </w:p>
    <w:p w14:paraId="115D99B1" w14:textId="77777777" w:rsidR="00974750" w:rsidRDefault="00974750" w:rsidP="00974750">
      <w:pPr>
        <w:pStyle w:val="ab"/>
        <w:shd w:val="clear" w:color="auto" w:fill="FFFFFF"/>
        <w:spacing w:before="0" w:beforeAutospacing="0" w:after="0" w:afterAutospacing="0" w:line="600" w:lineRule="atLeast"/>
        <w:ind w:firstLine="480"/>
        <w:rPr>
          <w:rFonts w:ascii="Microsoft YaHei" w:eastAsia="Microsoft YaHei" w:hAnsi="Microsoft YaHei" w:hint="eastAsia"/>
          <w:color w:val="000000"/>
          <w:lang w:eastAsia="zh-CN"/>
        </w:rPr>
      </w:pPr>
      <w:r>
        <w:rPr>
          <w:rFonts w:ascii="SimSun" w:eastAsia="SimSun" w:hAnsi="SimSun" w:hint="eastAsia"/>
          <w:color w:val="000000"/>
          <w:lang w:eastAsia="zh-CN"/>
        </w:rPr>
        <w:t>为规范和指导化妆品新原料的安全评价工作，根据《化妆品监督管理条例》《化妆品注册备案管理办法》《化妆品新原料注册备案资料管理规定》等相关法规和配套文件要求，国家药品监督管理局化妆品监督管理司组织我院起草了《化妆品新原料判定研究技术指导原则（征求意见稿）》（附件1）及起草说明（附件2），现公开向社会征求意见。反馈意见请填写意见反馈表（附件3），于2023年2月10日前发送电子邮件至hzppjzx@nifdc.org.cn。 </w:t>
      </w:r>
    </w:p>
    <w:p w14:paraId="4EDDC449" w14:textId="77777777" w:rsidR="00974750" w:rsidRDefault="00974750" w:rsidP="00974750">
      <w:pPr>
        <w:pStyle w:val="ab"/>
        <w:shd w:val="clear" w:color="auto" w:fill="FFFFFF"/>
        <w:spacing w:before="0" w:beforeAutospacing="0" w:after="0" w:afterAutospacing="0" w:line="600" w:lineRule="atLeast"/>
        <w:ind w:firstLine="480"/>
        <w:rPr>
          <w:rFonts w:ascii="Microsoft YaHei" w:eastAsia="Microsoft YaHei" w:hAnsi="Microsoft YaHei" w:hint="eastAsia"/>
          <w:color w:val="000000"/>
          <w:lang w:eastAsia="zh-CN"/>
        </w:rPr>
      </w:pPr>
      <w:r>
        <w:rPr>
          <w:rFonts w:ascii="SimSun" w:eastAsia="SimSun" w:hAnsi="SimSun" w:hint="eastAsia"/>
          <w:color w:val="000000"/>
          <w:lang w:eastAsia="zh-CN"/>
        </w:rPr>
        <w:t>附件：</w:t>
      </w:r>
    </w:p>
    <w:p w14:paraId="2CC00C12" w14:textId="77777777" w:rsidR="00974750" w:rsidRDefault="00974750" w:rsidP="00974750">
      <w:pPr>
        <w:pStyle w:val="ab"/>
        <w:shd w:val="clear" w:color="auto" w:fill="FFFFFF"/>
        <w:spacing w:before="0" w:beforeAutospacing="0" w:after="0" w:afterAutospacing="0" w:line="600" w:lineRule="atLeast"/>
        <w:ind w:firstLine="480"/>
        <w:rPr>
          <w:rFonts w:ascii="Microsoft YaHei" w:eastAsia="Microsoft YaHei" w:hAnsi="Microsoft YaHei" w:hint="eastAsia"/>
          <w:color w:val="000000"/>
          <w:lang w:eastAsia="zh-CN"/>
        </w:rPr>
      </w:pPr>
      <w:r>
        <w:rPr>
          <w:rFonts w:ascii="SimSun" w:eastAsia="SimSun" w:hAnsi="SimSun" w:hint="eastAsia"/>
          <w:color w:val="000000"/>
          <w:lang w:eastAsia="zh-CN"/>
        </w:rPr>
        <w:t>1.化妆品新原料判定研究技术指导原则（征求意见稿）</w:t>
      </w:r>
    </w:p>
    <w:p w14:paraId="5E9BE96D" w14:textId="77777777" w:rsidR="00974750" w:rsidRDefault="00974750" w:rsidP="00974750">
      <w:pPr>
        <w:pStyle w:val="ab"/>
        <w:shd w:val="clear" w:color="auto" w:fill="FFFFFF"/>
        <w:spacing w:before="0" w:beforeAutospacing="0" w:after="0" w:afterAutospacing="0" w:line="600" w:lineRule="atLeast"/>
        <w:ind w:firstLine="480"/>
        <w:rPr>
          <w:rFonts w:ascii="Microsoft YaHei" w:eastAsia="Microsoft YaHei" w:hAnsi="Microsoft YaHei" w:hint="eastAsia"/>
          <w:color w:val="000000"/>
          <w:lang w:eastAsia="zh-CN"/>
        </w:rPr>
      </w:pPr>
      <w:r>
        <w:rPr>
          <w:rFonts w:ascii="SimSun" w:eastAsia="SimSun" w:hAnsi="SimSun" w:hint="eastAsia"/>
          <w:color w:val="000000"/>
          <w:lang w:eastAsia="zh-CN"/>
        </w:rPr>
        <w:t>2.《化妆品新原料判定研究技术指导原则（征求意见稿）》起草说明</w:t>
      </w:r>
    </w:p>
    <w:p w14:paraId="1E56E11A" w14:textId="77777777" w:rsidR="00974750" w:rsidRDefault="00974750" w:rsidP="00974750">
      <w:pPr>
        <w:pStyle w:val="ab"/>
        <w:shd w:val="clear" w:color="auto" w:fill="FFFFFF"/>
        <w:spacing w:before="0" w:beforeAutospacing="0" w:after="0" w:afterAutospacing="0" w:line="600" w:lineRule="atLeast"/>
        <w:ind w:firstLine="480"/>
        <w:rPr>
          <w:rFonts w:ascii="Microsoft YaHei" w:eastAsia="Microsoft YaHei" w:hAnsi="Microsoft YaHei" w:hint="eastAsia"/>
          <w:color w:val="000000"/>
          <w:lang w:eastAsia="zh-CN"/>
        </w:rPr>
      </w:pPr>
      <w:r>
        <w:rPr>
          <w:rFonts w:ascii="SimSun" w:eastAsia="SimSun" w:hAnsi="SimSun" w:hint="eastAsia"/>
          <w:color w:val="000000"/>
          <w:lang w:eastAsia="zh-CN"/>
        </w:rPr>
        <w:t>3.意见反馈表</w:t>
      </w:r>
    </w:p>
    <w:p w14:paraId="06066882" w14:textId="77777777" w:rsidR="00974750" w:rsidRDefault="00974750" w:rsidP="00974750">
      <w:pPr>
        <w:pStyle w:val="ab"/>
        <w:shd w:val="clear" w:color="auto" w:fill="FFFFFF"/>
        <w:spacing w:before="0" w:beforeAutospacing="0" w:after="0" w:afterAutospacing="0" w:line="600" w:lineRule="atLeast"/>
        <w:ind w:right="390" w:firstLine="2685"/>
        <w:jc w:val="right"/>
        <w:rPr>
          <w:rFonts w:ascii="Microsoft YaHei" w:eastAsia="Microsoft YaHei" w:hAnsi="Microsoft YaHei" w:hint="eastAsia"/>
          <w:color w:val="000000"/>
          <w:lang w:eastAsia="zh-CN"/>
        </w:rPr>
      </w:pPr>
      <w:r>
        <w:rPr>
          <w:rFonts w:ascii="SimSun" w:eastAsia="SimSun" w:hAnsi="SimSun" w:hint="eastAsia"/>
          <w:color w:val="000000"/>
          <w:lang w:eastAsia="zh-CN"/>
        </w:rPr>
        <w:t>中检院</w:t>
      </w:r>
    </w:p>
    <w:p w14:paraId="3EE3F055" w14:textId="77777777" w:rsidR="00974750" w:rsidRDefault="00974750" w:rsidP="00974750">
      <w:pPr>
        <w:pStyle w:val="ab"/>
        <w:shd w:val="clear" w:color="auto" w:fill="FFFFFF"/>
        <w:spacing w:before="0" w:beforeAutospacing="0" w:after="0" w:afterAutospacing="0" w:line="600" w:lineRule="atLeast"/>
        <w:ind w:right="390" w:firstLine="2685"/>
        <w:jc w:val="right"/>
        <w:rPr>
          <w:rFonts w:ascii="Microsoft YaHei" w:eastAsia="Microsoft YaHei" w:hAnsi="Microsoft YaHei" w:hint="eastAsia"/>
          <w:color w:val="000000"/>
          <w:lang w:eastAsia="zh-CN"/>
        </w:rPr>
      </w:pPr>
      <w:r>
        <w:rPr>
          <w:rFonts w:ascii="SimSun" w:eastAsia="SimSun" w:hAnsi="SimSun" w:hint="eastAsia"/>
          <w:color w:val="000000"/>
          <w:lang w:eastAsia="zh-CN"/>
        </w:rPr>
        <w:t>2023年1月19日</w:t>
      </w:r>
    </w:p>
    <w:p w14:paraId="2938894C" w14:textId="77777777" w:rsidR="00974750" w:rsidRDefault="00974750">
      <w:pPr>
        <w:widowControl/>
        <w:jc w:val="left"/>
        <w:rPr>
          <w:rFonts w:ascii="SimHei" w:eastAsia="SimHei" w:hAnsi="SimHei" w:cs="SimHei"/>
          <w:bCs/>
          <w:sz w:val="32"/>
          <w:szCs w:val="32"/>
        </w:rPr>
      </w:pPr>
      <w:r>
        <w:rPr>
          <w:rFonts w:ascii="SimHei" w:eastAsia="SimHei" w:hAnsi="SimHei" w:cs="SimHei"/>
          <w:bCs/>
          <w:sz w:val="32"/>
          <w:szCs w:val="32"/>
        </w:rPr>
        <w:br w:type="page"/>
      </w:r>
    </w:p>
    <w:p w14:paraId="7A442D7B" w14:textId="53100910" w:rsidR="000639E2" w:rsidRDefault="00000000">
      <w:pPr>
        <w:snapToGrid w:val="0"/>
        <w:spacing w:afterLines="100" w:after="312" w:line="560" w:lineRule="exact"/>
        <w:rPr>
          <w:rFonts w:ascii="SimHei" w:eastAsia="SimHei" w:hAnsi="SimHei" w:cs="SimHei"/>
          <w:bCs/>
          <w:sz w:val="32"/>
          <w:szCs w:val="32"/>
        </w:rPr>
      </w:pPr>
      <w:r>
        <w:rPr>
          <w:rFonts w:ascii="SimHei" w:eastAsia="SimHei" w:hAnsi="SimHei" w:cs="SimHei" w:hint="eastAsia"/>
          <w:bCs/>
          <w:sz w:val="32"/>
          <w:szCs w:val="32"/>
        </w:rPr>
        <w:lastRenderedPageBreak/>
        <w:t>附件1</w:t>
      </w:r>
    </w:p>
    <w:p w14:paraId="2491CEDB" w14:textId="77777777" w:rsidR="000639E2" w:rsidRDefault="000639E2">
      <w:pPr>
        <w:snapToGrid w:val="0"/>
        <w:spacing w:afterLines="100" w:after="312" w:line="560" w:lineRule="exact"/>
        <w:rPr>
          <w:rFonts w:ascii="SimHei" w:eastAsia="SimHei" w:hAnsi="SimHei" w:cs="SimHei"/>
          <w:bCs/>
          <w:sz w:val="32"/>
          <w:szCs w:val="32"/>
        </w:rPr>
      </w:pPr>
    </w:p>
    <w:p w14:paraId="08B9751D" w14:textId="77777777" w:rsidR="000639E2" w:rsidRDefault="000639E2">
      <w:pPr>
        <w:adjustRightInd w:val="0"/>
        <w:snapToGrid w:val="0"/>
        <w:spacing w:line="288" w:lineRule="auto"/>
        <w:jc w:val="center"/>
        <w:rPr>
          <w:rFonts w:ascii="SimHei" w:eastAsia="SimHei" w:hAnsi="SimHei" w:cs="SimHei"/>
          <w:sz w:val="84"/>
          <w:szCs w:val="84"/>
        </w:rPr>
      </w:pPr>
    </w:p>
    <w:p w14:paraId="4DCE8CEF" w14:textId="77777777" w:rsidR="000639E2" w:rsidRDefault="00000000">
      <w:pPr>
        <w:snapToGrid w:val="0"/>
        <w:spacing w:line="288" w:lineRule="auto"/>
        <w:jc w:val="center"/>
        <w:rPr>
          <w:rFonts w:ascii="SimHei" w:eastAsia="SimHei" w:hAnsi="SimHei" w:cs="SimHei"/>
          <w:b/>
          <w:bCs/>
          <w:sz w:val="56"/>
          <w:szCs w:val="56"/>
        </w:rPr>
      </w:pPr>
      <w:r>
        <w:rPr>
          <w:rFonts w:ascii="SimHei" w:eastAsia="SimHei" w:hAnsi="SimHei" w:cs="SimHei" w:hint="eastAsia"/>
          <w:b/>
          <w:bCs/>
          <w:sz w:val="56"/>
          <w:szCs w:val="56"/>
        </w:rPr>
        <w:t>化妆品新原料判定研究</w:t>
      </w:r>
    </w:p>
    <w:p w14:paraId="08019DE5" w14:textId="77777777" w:rsidR="000639E2" w:rsidRDefault="00000000">
      <w:pPr>
        <w:snapToGrid w:val="0"/>
        <w:spacing w:line="288" w:lineRule="auto"/>
        <w:jc w:val="center"/>
        <w:rPr>
          <w:rFonts w:ascii="SimHei" w:eastAsia="SimHei" w:hAnsi="SimHei" w:cs="SimHei"/>
          <w:b/>
          <w:bCs/>
          <w:sz w:val="52"/>
          <w:szCs w:val="52"/>
        </w:rPr>
      </w:pPr>
      <w:r>
        <w:rPr>
          <w:rFonts w:ascii="SimHei" w:eastAsia="SimHei" w:hAnsi="SimHei" w:cs="SimHei" w:hint="eastAsia"/>
          <w:b/>
          <w:bCs/>
          <w:sz w:val="56"/>
          <w:szCs w:val="56"/>
        </w:rPr>
        <w:t>技术指导原则</w:t>
      </w:r>
    </w:p>
    <w:p w14:paraId="41131157" w14:textId="77777777" w:rsidR="000639E2" w:rsidRDefault="000639E2">
      <w:pPr>
        <w:snapToGrid w:val="0"/>
        <w:spacing w:line="288" w:lineRule="auto"/>
        <w:jc w:val="center"/>
        <w:rPr>
          <w:rFonts w:ascii="SimHei" w:eastAsia="SimHei" w:hAnsi="SimHei" w:cs="SimHei"/>
          <w:b/>
          <w:bCs/>
          <w:sz w:val="48"/>
          <w:szCs w:val="48"/>
        </w:rPr>
      </w:pPr>
    </w:p>
    <w:p w14:paraId="138D0476" w14:textId="77777777" w:rsidR="000639E2" w:rsidRDefault="00000000">
      <w:pPr>
        <w:snapToGrid w:val="0"/>
        <w:spacing w:line="288" w:lineRule="auto"/>
        <w:jc w:val="center"/>
        <w:rPr>
          <w:rFonts w:ascii="SimHei" w:eastAsia="SimHei" w:hAnsi="SimHei" w:cs="SimHei"/>
          <w:b/>
          <w:bCs/>
          <w:sz w:val="48"/>
          <w:szCs w:val="48"/>
        </w:rPr>
      </w:pPr>
      <w:r>
        <w:rPr>
          <w:rFonts w:ascii="SimHei" w:eastAsia="SimHei" w:hAnsi="SimHei" w:cs="SimHei" w:hint="eastAsia"/>
          <w:b/>
          <w:bCs/>
          <w:sz w:val="48"/>
          <w:szCs w:val="48"/>
        </w:rPr>
        <w:t>（征求意见稿）</w:t>
      </w:r>
    </w:p>
    <w:p w14:paraId="23F0CBC8" w14:textId="77777777" w:rsidR="000639E2" w:rsidRDefault="000639E2">
      <w:pPr>
        <w:snapToGrid w:val="0"/>
        <w:spacing w:line="360" w:lineRule="auto"/>
        <w:jc w:val="center"/>
        <w:rPr>
          <w:rFonts w:ascii="FangSong" w:eastAsia="FangSong" w:hAnsi="FangSong" w:cs="FangSong"/>
          <w:sz w:val="44"/>
          <w:szCs w:val="44"/>
        </w:rPr>
      </w:pPr>
    </w:p>
    <w:p w14:paraId="67C671E0" w14:textId="77777777" w:rsidR="000639E2" w:rsidRDefault="000639E2">
      <w:pPr>
        <w:snapToGrid w:val="0"/>
        <w:spacing w:line="360" w:lineRule="auto"/>
        <w:jc w:val="center"/>
        <w:rPr>
          <w:rFonts w:ascii="FangSong" w:eastAsia="FangSong" w:hAnsi="FangSong" w:cs="FangSong"/>
          <w:sz w:val="44"/>
          <w:szCs w:val="44"/>
        </w:rPr>
      </w:pPr>
    </w:p>
    <w:p w14:paraId="430B7D62" w14:textId="77777777" w:rsidR="000639E2" w:rsidRDefault="000639E2">
      <w:pPr>
        <w:snapToGrid w:val="0"/>
        <w:spacing w:line="360" w:lineRule="auto"/>
        <w:jc w:val="center"/>
        <w:rPr>
          <w:rFonts w:ascii="FangSong" w:eastAsia="FangSong" w:hAnsi="FangSong" w:cs="FangSong"/>
          <w:sz w:val="44"/>
          <w:szCs w:val="44"/>
        </w:rPr>
      </w:pPr>
    </w:p>
    <w:p w14:paraId="2AD5FEBB" w14:textId="77777777" w:rsidR="000639E2" w:rsidRDefault="000639E2">
      <w:pPr>
        <w:snapToGrid w:val="0"/>
        <w:spacing w:line="360" w:lineRule="auto"/>
        <w:jc w:val="center"/>
        <w:rPr>
          <w:rFonts w:ascii="FangSong" w:eastAsia="FangSong" w:hAnsi="FangSong" w:cs="FangSong"/>
          <w:sz w:val="44"/>
          <w:szCs w:val="44"/>
        </w:rPr>
      </w:pPr>
    </w:p>
    <w:p w14:paraId="6E9A1583" w14:textId="77777777" w:rsidR="000639E2" w:rsidRDefault="000639E2">
      <w:pPr>
        <w:snapToGrid w:val="0"/>
        <w:spacing w:line="360" w:lineRule="auto"/>
        <w:jc w:val="center"/>
        <w:rPr>
          <w:rFonts w:ascii="FangSong" w:eastAsia="FangSong" w:hAnsi="FangSong" w:cs="FangSong"/>
          <w:sz w:val="44"/>
          <w:szCs w:val="44"/>
        </w:rPr>
      </w:pPr>
    </w:p>
    <w:p w14:paraId="28382AAB" w14:textId="77777777" w:rsidR="000639E2" w:rsidRDefault="00000000">
      <w:pPr>
        <w:snapToGrid w:val="0"/>
        <w:spacing w:line="360" w:lineRule="auto"/>
        <w:jc w:val="center"/>
        <w:rPr>
          <w:rFonts w:ascii="KaiTi" w:eastAsia="KaiTi" w:hAnsi="KaiTi" w:cs="KaiTi"/>
          <w:sz w:val="44"/>
          <w:szCs w:val="44"/>
        </w:rPr>
      </w:pPr>
      <w:r>
        <w:rPr>
          <w:rFonts w:ascii="KaiTi" w:eastAsia="KaiTi" w:hAnsi="KaiTi" w:cs="KaiTi" w:hint="eastAsia"/>
          <w:sz w:val="44"/>
          <w:szCs w:val="44"/>
        </w:rPr>
        <w:t>中国食品药品检定研究院</w:t>
      </w:r>
    </w:p>
    <w:p w14:paraId="0DC9A124" w14:textId="77777777" w:rsidR="000639E2" w:rsidRDefault="00000000">
      <w:pPr>
        <w:snapToGrid w:val="0"/>
        <w:spacing w:line="360" w:lineRule="auto"/>
        <w:jc w:val="center"/>
        <w:rPr>
          <w:rFonts w:ascii="KaiTi" w:eastAsia="KaiTi" w:hAnsi="KaiTi" w:cs="KaiTi"/>
          <w:sz w:val="40"/>
          <w:szCs w:val="40"/>
        </w:rPr>
      </w:pPr>
      <w:r>
        <w:rPr>
          <w:rFonts w:ascii="KaiTi" w:eastAsia="KaiTi" w:hAnsi="KaiTi" w:cs="KaiTi"/>
          <w:sz w:val="40"/>
          <w:szCs w:val="40"/>
        </w:rPr>
        <w:t>202</w:t>
      </w:r>
      <w:r>
        <w:rPr>
          <w:rFonts w:ascii="KaiTi" w:eastAsia="KaiTi" w:hAnsi="KaiTi" w:cs="KaiTi" w:hint="eastAsia"/>
          <w:sz w:val="40"/>
          <w:szCs w:val="40"/>
        </w:rPr>
        <w:t>3</w:t>
      </w:r>
      <w:r>
        <w:rPr>
          <w:rFonts w:ascii="KaiTi" w:eastAsia="KaiTi" w:hAnsi="KaiTi" w:cs="KaiTi"/>
          <w:sz w:val="40"/>
          <w:szCs w:val="40"/>
        </w:rPr>
        <w:t>年</w:t>
      </w:r>
      <w:r>
        <w:rPr>
          <w:rFonts w:ascii="KaiTi" w:eastAsia="KaiTi" w:hAnsi="KaiTi" w:cs="KaiTi" w:hint="eastAsia"/>
          <w:sz w:val="40"/>
          <w:szCs w:val="40"/>
        </w:rPr>
        <w:t>1</w:t>
      </w:r>
      <w:r>
        <w:rPr>
          <w:rFonts w:ascii="KaiTi" w:eastAsia="KaiTi" w:hAnsi="KaiTi" w:cs="KaiTi"/>
          <w:sz w:val="40"/>
          <w:szCs w:val="40"/>
        </w:rPr>
        <w:t>月</w:t>
      </w:r>
    </w:p>
    <w:p w14:paraId="0B378C57" w14:textId="77777777" w:rsidR="000639E2" w:rsidRDefault="000639E2">
      <w:pPr>
        <w:snapToGrid w:val="0"/>
        <w:spacing w:line="360" w:lineRule="auto"/>
        <w:jc w:val="center"/>
        <w:rPr>
          <w:rFonts w:ascii="KaiTi" w:eastAsia="KaiTi" w:hAnsi="KaiTi" w:cs="KaiTi"/>
          <w:sz w:val="44"/>
          <w:szCs w:val="44"/>
        </w:rPr>
      </w:pPr>
    </w:p>
    <w:p w14:paraId="6D0FAA2A" w14:textId="77777777" w:rsidR="000639E2" w:rsidRDefault="000639E2">
      <w:pPr>
        <w:snapToGrid w:val="0"/>
        <w:spacing w:line="360" w:lineRule="auto"/>
        <w:rPr>
          <w:rFonts w:ascii="SimHei" w:eastAsia="SimHei" w:hAnsi="SimHei" w:cs="SimHei"/>
          <w:b/>
          <w:bCs/>
          <w:sz w:val="28"/>
          <w:szCs w:val="28"/>
        </w:rPr>
        <w:sectPr w:rsidR="000639E2">
          <w:pgSz w:w="11906" w:h="16838"/>
          <w:pgMar w:top="1440" w:right="1800" w:bottom="1440" w:left="1800" w:header="851" w:footer="992" w:gutter="0"/>
          <w:cols w:space="425"/>
          <w:docGrid w:type="lines" w:linePitch="312"/>
        </w:sectPr>
      </w:pPr>
    </w:p>
    <w:sdt>
      <w:sdtPr>
        <w:rPr>
          <w:rFonts w:ascii="SimSun" w:eastAsia="SimSun" w:hAnsi="SimSun"/>
        </w:rPr>
        <w:id w:val="147463053"/>
        <w:docPartObj>
          <w:docPartGallery w:val="Table of Contents"/>
          <w:docPartUnique/>
        </w:docPartObj>
      </w:sdtPr>
      <w:sdtContent>
        <w:p w14:paraId="0CFFEED1" w14:textId="77777777" w:rsidR="000639E2" w:rsidRDefault="00000000">
          <w:pPr>
            <w:jc w:val="center"/>
            <w:rPr>
              <w:rFonts w:ascii="SimHei" w:eastAsia="SimHei" w:hAnsi="SimHei" w:cs="SimHei"/>
              <w:sz w:val="36"/>
              <w:szCs w:val="44"/>
            </w:rPr>
          </w:pPr>
          <w:r>
            <w:rPr>
              <w:rFonts w:ascii="SimHei" w:eastAsia="SimHei" w:hAnsi="SimHei" w:cs="SimHei" w:hint="eastAsia"/>
              <w:sz w:val="36"/>
              <w:szCs w:val="44"/>
            </w:rPr>
            <w:t>目</w:t>
          </w:r>
          <w:r>
            <w:rPr>
              <w:rFonts w:ascii="SimHei" w:eastAsia="SimHei" w:hAnsi="SimHei" w:cs="SimHei"/>
              <w:sz w:val="36"/>
              <w:szCs w:val="44"/>
            </w:rPr>
            <w:t xml:space="preserve">  </w:t>
          </w:r>
          <w:r>
            <w:rPr>
              <w:rFonts w:ascii="SimHei" w:eastAsia="SimHei" w:hAnsi="SimHei" w:cs="SimHei" w:hint="eastAsia"/>
              <w:sz w:val="36"/>
              <w:szCs w:val="44"/>
            </w:rPr>
            <w:t>录</w:t>
          </w:r>
        </w:p>
        <w:p w14:paraId="51798E95" w14:textId="77777777" w:rsidR="000639E2" w:rsidRDefault="000639E2">
          <w:pPr>
            <w:jc w:val="center"/>
            <w:rPr>
              <w:rFonts w:ascii="SimHei" w:eastAsia="SimHei" w:hAnsi="SimHei" w:cs="SimHei"/>
              <w:sz w:val="36"/>
              <w:szCs w:val="44"/>
            </w:rPr>
          </w:pPr>
        </w:p>
        <w:p w14:paraId="3F5FCEFC" w14:textId="699063FA" w:rsidR="000639E2" w:rsidRDefault="00000000">
          <w:pPr>
            <w:pStyle w:val="10"/>
            <w:tabs>
              <w:tab w:val="right" w:leader="dot" w:pos="8296"/>
            </w:tabs>
            <w:spacing w:line="600" w:lineRule="auto"/>
            <w:rPr>
              <w:rFonts w:ascii="SimHei" w:eastAsia="SimHei" w:hAnsi="SimHei"/>
              <w:b/>
              <w:sz w:val="32"/>
              <w:szCs w:val="32"/>
            </w:rPr>
          </w:pPr>
          <w:r>
            <w:rPr>
              <w:rFonts w:ascii="SimHei" w:eastAsia="SimHei" w:hAnsi="SimHei"/>
              <w:sz w:val="32"/>
              <w:szCs w:val="32"/>
            </w:rPr>
            <w:fldChar w:fldCharType="begin"/>
          </w:r>
          <w:r>
            <w:rPr>
              <w:rFonts w:ascii="SimHei" w:eastAsia="SimHei" w:hAnsi="SimHei"/>
              <w:sz w:val="32"/>
              <w:szCs w:val="32"/>
            </w:rPr>
            <w:instrText xml:space="preserve">TOC \o "1-4" \h \u </w:instrText>
          </w:r>
          <w:r>
            <w:rPr>
              <w:rFonts w:ascii="SimHei" w:eastAsia="SimHei" w:hAnsi="SimHei"/>
              <w:sz w:val="32"/>
              <w:szCs w:val="32"/>
            </w:rPr>
            <w:fldChar w:fldCharType="separate"/>
          </w:r>
          <w:hyperlink w:anchor="_Toc124498232" w:history="1">
            <w:r>
              <w:rPr>
                <w:rStyle w:val="a8"/>
                <w:rFonts w:ascii="SimHei" w:eastAsia="SimHei" w:hAnsi="SimHei" w:cs="SimHei" w:hint="eastAsia"/>
                <w:b/>
                <w:sz w:val="32"/>
                <w:szCs w:val="32"/>
              </w:rPr>
              <w:t>一、概述</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_Toc124498232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2</w:t>
            </w:r>
            <w:r>
              <w:rPr>
                <w:rFonts w:ascii="SimHei" w:eastAsia="SimHei" w:hAnsi="SimHei"/>
                <w:b/>
                <w:sz w:val="32"/>
                <w:szCs w:val="32"/>
              </w:rPr>
              <w:fldChar w:fldCharType="end"/>
            </w:r>
          </w:hyperlink>
        </w:p>
        <w:p w14:paraId="59945FC1" w14:textId="7D59FF98" w:rsidR="000639E2" w:rsidRDefault="00000000">
          <w:pPr>
            <w:pStyle w:val="10"/>
            <w:tabs>
              <w:tab w:val="right" w:leader="dot" w:pos="8296"/>
            </w:tabs>
            <w:spacing w:line="600" w:lineRule="auto"/>
            <w:rPr>
              <w:rFonts w:ascii="SimHei" w:eastAsia="SimHei" w:hAnsi="SimHei"/>
              <w:b/>
              <w:sz w:val="32"/>
              <w:szCs w:val="32"/>
            </w:rPr>
          </w:pPr>
          <w:hyperlink w:anchor="_Toc124498233" w:history="1">
            <w:r>
              <w:rPr>
                <w:rStyle w:val="a8"/>
                <w:rFonts w:ascii="SimHei" w:eastAsia="SimHei" w:hAnsi="SimHei" w:cs="SimHei" w:hint="eastAsia"/>
                <w:b/>
                <w:sz w:val="32"/>
                <w:szCs w:val="32"/>
              </w:rPr>
              <w:t>二、适用范围</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_Toc124498233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3</w:t>
            </w:r>
            <w:r>
              <w:rPr>
                <w:rFonts w:ascii="SimHei" w:eastAsia="SimHei" w:hAnsi="SimHei"/>
                <w:b/>
                <w:sz w:val="32"/>
                <w:szCs w:val="32"/>
              </w:rPr>
              <w:fldChar w:fldCharType="end"/>
            </w:r>
          </w:hyperlink>
        </w:p>
        <w:p w14:paraId="2C2A5086" w14:textId="62FA5558" w:rsidR="000639E2" w:rsidRDefault="00000000">
          <w:pPr>
            <w:pStyle w:val="10"/>
            <w:tabs>
              <w:tab w:val="right" w:leader="dot" w:pos="8296"/>
            </w:tabs>
            <w:spacing w:line="600" w:lineRule="auto"/>
            <w:rPr>
              <w:rFonts w:ascii="SimHei" w:eastAsia="SimHei" w:hAnsi="SimHei"/>
              <w:b/>
              <w:sz w:val="32"/>
              <w:szCs w:val="32"/>
            </w:rPr>
          </w:pPr>
          <w:hyperlink w:anchor="_Toc124498234" w:history="1">
            <w:r>
              <w:rPr>
                <w:rStyle w:val="a8"/>
                <w:rFonts w:ascii="SimHei" w:eastAsia="SimHei" w:hAnsi="SimHei" w:cs="SimHei" w:hint="eastAsia"/>
                <w:b/>
                <w:sz w:val="32"/>
                <w:szCs w:val="32"/>
              </w:rPr>
              <w:t>三、一般原则</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_Toc124498234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3</w:t>
            </w:r>
            <w:r>
              <w:rPr>
                <w:rFonts w:ascii="SimHei" w:eastAsia="SimHei" w:hAnsi="SimHei"/>
                <w:b/>
                <w:sz w:val="32"/>
                <w:szCs w:val="32"/>
              </w:rPr>
              <w:fldChar w:fldCharType="end"/>
            </w:r>
          </w:hyperlink>
        </w:p>
        <w:p w14:paraId="6E5FDD40" w14:textId="45B4A845" w:rsidR="000639E2" w:rsidRDefault="00000000">
          <w:pPr>
            <w:pStyle w:val="10"/>
            <w:tabs>
              <w:tab w:val="right" w:leader="dot" w:pos="8296"/>
            </w:tabs>
            <w:spacing w:line="600" w:lineRule="auto"/>
            <w:rPr>
              <w:rFonts w:ascii="SimHei" w:eastAsia="SimHei" w:hAnsi="SimHei"/>
              <w:b/>
              <w:sz w:val="32"/>
              <w:szCs w:val="32"/>
            </w:rPr>
          </w:pPr>
          <w:hyperlink w:anchor="_Toc124498235" w:history="1">
            <w:r>
              <w:rPr>
                <w:rStyle w:val="a8"/>
                <w:rFonts w:ascii="SimHei" w:eastAsia="SimHei" w:hAnsi="SimHei" w:cs="SimHei" w:hint="eastAsia"/>
                <w:b/>
                <w:sz w:val="32"/>
                <w:szCs w:val="32"/>
              </w:rPr>
              <w:t>四、化妆品新原料的判定原则</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_Toc124498235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3</w:t>
            </w:r>
            <w:r>
              <w:rPr>
                <w:rFonts w:ascii="SimHei" w:eastAsia="SimHei" w:hAnsi="SimHei"/>
                <w:b/>
                <w:sz w:val="32"/>
                <w:szCs w:val="32"/>
              </w:rPr>
              <w:fldChar w:fldCharType="end"/>
            </w:r>
          </w:hyperlink>
        </w:p>
        <w:p w14:paraId="6EB7BF68" w14:textId="594DCEEA" w:rsidR="000639E2" w:rsidRDefault="00000000">
          <w:pPr>
            <w:pStyle w:val="10"/>
            <w:tabs>
              <w:tab w:val="right" w:leader="dot" w:pos="8296"/>
            </w:tabs>
            <w:spacing w:line="600" w:lineRule="auto"/>
            <w:rPr>
              <w:rFonts w:ascii="SimHei" w:eastAsia="SimHei" w:hAnsi="SimHei"/>
              <w:b/>
              <w:sz w:val="32"/>
              <w:szCs w:val="32"/>
            </w:rPr>
          </w:pPr>
          <w:hyperlink w:anchor="_Toc124498236" w:history="1">
            <w:r>
              <w:rPr>
                <w:rStyle w:val="a8"/>
                <w:rFonts w:ascii="SimHei" w:eastAsia="SimHei" w:hAnsi="SimHei" w:cs="SimHei" w:hint="eastAsia"/>
                <w:b/>
                <w:sz w:val="32"/>
                <w:szCs w:val="32"/>
              </w:rPr>
              <w:t>五、化妆品新原料的分类原则</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_Toc124498236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5</w:t>
            </w:r>
            <w:r>
              <w:rPr>
                <w:rFonts w:ascii="SimHei" w:eastAsia="SimHei" w:hAnsi="SimHei"/>
                <w:b/>
                <w:sz w:val="32"/>
                <w:szCs w:val="32"/>
              </w:rPr>
              <w:fldChar w:fldCharType="end"/>
            </w:r>
          </w:hyperlink>
        </w:p>
        <w:p w14:paraId="1A36ECFF" w14:textId="5AAEC8CB" w:rsidR="000639E2" w:rsidRDefault="00000000">
          <w:pPr>
            <w:pStyle w:val="20"/>
            <w:tabs>
              <w:tab w:val="right" w:leader="dot" w:pos="8296"/>
            </w:tabs>
            <w:spacing w:line="600" w:lineRule="auto"/>
            <w:rPr>
              <w:rFonts w:ascii="SimHei" w:eastAsia="SimHei" w:hAnsi="SimHei"/>
              <w:b/>
              <w:sz w:val="32"/>
              <w:szCs w:val="32"/>
            </w:rPr>
          </w:pPr>
          <w:hyperlink w:anchor="_Toc124498237" w:history="1">
            <w:r>
              <w:rPr>
                <w:rStyle w:val="a8"/>
                <w:rFonts w:ascii="SimHei" w:eastAsia="SimHei" w:hAnsi="SimHei" w:cs="FangSong" w:hint="eastAsia"/>
                <w:b/>
                <w:bCs/>
                <w:sz w:val="32"/>
                <w:szCs w:val="32"/>
              </w:rPr>
              <w:t>（一）新原料组成分类</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_Toc124498237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5</w:t>
            </w:r>
            <w:r>
              <w:rPr>
                <w:rFonts w:ascii="SimHei" w:eastAsia="SimHei" w:hAnsi="SimHei"/>
                <w:b/>
                <w:sz w:val="32"/>
                <w:szCs w:val="32"/>
              </w:rPr>
              <w:fldChar w:fldCharType="end"/>
            </w:r>
          </w:hyperlink>
        </w:p>
        <w:p w14:paraId="482EC1FC" w14:textId="5E71BD55" w:rsidR="000639E2" w:rsidRDefault="00000000">
          <w:pPr>
            <w:pStyle w:val="20"/>
            <w:tabs>
              <w:tab w:val="right" w:leader="dot" w:pos="8296"/>
            </w:tabs>
            <w:spacing w:line="600" w:lineRule="auto"/>
            <w:rPr>
              <w:rFonts w:ascii="SimHei" w:eastAsia="SimHei" w:hAnsi="SimHei"/>
              <w:b/>
              <w:sz w:val="32"/>
              <w:szCs w:val="32"/>
            </w:rPr>
          </w:pPr>
          <w:hyperlink w:anchor="_Toc124498238" w:history="1">
            <w:r>
              <w:rPr>
                <w:rStyle w:val="a8"/>
                <w:rFonts w:ascii="SimHei" w:eastAsia="SimHei" w:hAnsi="SimHei" w:cs="FangSong" w:hint="eastAsia"/>
                <w:b/>
                <w:bCs/>
                <w:sz w:val="32"/>
                <w:szCs w:val="32"/>
              </w:rPr>
              <w:t>（二）新原料来源属性分类</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_Toc124498238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6</w:t>
            </w:r>
            <w:r>
              <w:rPr>
                <w:rFonts w:ascii="SimHei" w:eastAsia="SimHei" w:hAnsi="SimHei"/>
                <w:b/>
                <w:sz w:val="32"/>
                <w:szCs w:val="32"/>
              </w:rPr>
              <w:fldChar w:fldCharType="end"/>
            </w:r>
          </w:hyperlink>
        </w:p>
        <w:p w14:paraId="44D4C819" w14:textId="62044DB9" w:rsidR="000639E2" w:rsidRDefault="00000000">
          <w:pPr>
            <w:pStyle w:val="20"/>
            <w:tabs>
              <w:tab w:val="right" w:leader="dot" w:pos="8296"/>
            </w:tabs>
            <w:spacing w:line="600" w:lineRule="auto"/>
            <w:rPr>
              <w:rFonts w:ascii="SimHei" w:eastAsia="SimHei" w:hAnsi="SimHei"/>
              <w:b/>
              <w:sz w:val="32"/>
              <w:szCs w:val="32"/>
            </w:rPr>
          </w:pPr>
          <w:hyperlink w:anchor="_Toc124498239" w:history="1">
            <w:r>
              <w:rPr>
                <w:rStyle w:val="a8"/>
                <w:rFonts w:ascii="SimHei" w:eastAsia="SimHei" w:hAnsi="SimHei" w:cs="FangSong" w:hint="eastAsia"/>
                <w:b/>
                <w:bCs/>
                <w:sz w:val="32"/>
                <w:szCs w:val="32"/>
              </w:rPr>
              <w:t>（三）新原料制备工艺分类</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_Toc124498239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7</w:t>
            </w:r>
            <w:r>
              <w:rPr>
                <w:rFonts w:ascii="SimHei" w:eastAsia="SimHei" w:hAnsi="SimHei"/>
                <w:b/>
                <w:sz w:val="32"/>
                <w:szCs w:val="32"/>
              </w:rPr>
              <w:fldChar w:fldCharType="end"/>
            </w:r>
          </w:hyperlink>
        </w:p>
        <w:p w14:paraId="320D41F9" w14:textId="14AC3077" w:rsidR="000639E2" w:rsidRDefault="00000000">
          <w:pPr>
            <w:pStyle w:val="20"/>
            <w:tabs>
              <w:tab w:val="right" w:leader="dot" w:pos="8296"/>
            </w:tabs>
            <w:spacing w:line="600" w:lineRule="auto"/>
            <w:rPr>
              <w:rFonts w:ascii="SimHei" w:eastAsia="SimHei" w:hAnsi="SimHei"/>
              <w:b/>
              <w:sz w:val="32"/>
              <w:szCs w:val="32"/>
            </w:rPr>
          </w:pPr>
          <w:hyperlink w:anchor="_Toc124498240" w:history="1">
            <w:r>
              <w:rPr>
                <w:rStyle w:val="a8"/>
                <w:rFonts w:ascii="SimHei" w:eastAsia="SimHei" w:hAnsi="SimHei" w:cs="FangSong" w:hint="eastAsia"/>
                <w:b/>
                <w:bCs/>
                <w:sz w:val="32"/>
                <w:szCs w:val="32"/>
              </w:rPr>
              <w:t>（四）新原料实际功能分类</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_Toc124498240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10</w:t>
            </w:r>
            <w:r>
              <w:rPr>
                <w:rFonts w:ascii="SimHei" w:eastAsia="SimHei" w:hAnsi="SimHei"/>
                <w:b/>
                <w:sz w:val="32"/>
                <w:szCs w:val="32"/>
              </w:rPr>
              <w:fldChar w:fldCharType="end"/>
            </w:r>
          </w:hyperlink>
        </w:p>
        <w:p w14:paraId="41A8AD99" w14:textId="284A86D7" w:rsidR="000639E2" w:rsidRDefault="00000000">
          <w:pPr>
            <w:pStyle w:val="10"/>
            <w:tabs>
              <w:tab w:val="right" w:leader="dot" w:pos="8296"/>
            </w:tabs>
            <w:spacing w:line="600" w:lineRule="auto"/>
            <w:rPr>
              <w:rFonts w:ascii="SimHei" w:eastAsia="SimHei" w:hAnsi="SimHei"/>
              <w:b/>
              <w:sz w:val="32"/>
              <w:szCs w:val="32"/>
            </w:rPr>
          </w:pPr>
          <w:hyperlink w:anchor="_Toc124498241" w:history="1">
            <w:r>
              <w:rPr>
                <w:rStyle w:val="a8"/>
                <w:rFonts w:ascii="SimHei" w:eastAsia="SimHei" w:hAnsi="SimHei" w:cs="SimHei" w:hint="eastAsia"/>
                <w:b/>
                <w:sz w:val="32"/>
                <w:szCs w:val="32"/>
              </w:rPr>
              <w:t>六、 化妆品新原料的命名原则</w:t>
            </w:r>
            <w:r>
              <w:rPr>
                <w:rFonts w:ascii="SimHei" w:eastAsia="SimHei" w:hAnsi="SimHei"/>
                <w:b/>
                <w:sz w:val="32"/>
                <w:szCs w:val="32"/>
              </w:rPr>
              <w:tab/>
            </w:r>
            <w:r>
              <w:rPr>
                <w:rFonts w:ascii="SimHei" w:eastAsia="SimHei" w:hAnsi="SimHei"/>
                <w:b/>
                <w:sz w:val="32"/>
                <w:szCs w:val="32"/>
              </w:rPr>
              <w:fldChar w:fldCharType="begin"/>
            </w:r>
            <w:r>
              <w:rPr>
                <w:rFonts w:ascii="SimHei" w:eastAsia="SimHei" w:hAnsi="SimHei"/>
                <w:b/>
                <w:sz w:val="32"/>
                <w:szCs w:val="32"/>
              </w:rPr>
              <w:instrText xml:space="preserve"> PAGEREF _Toc124498241 \h </w:instrText>
            </w:r>
            <w:r>
              <w:rPr>
                <w:rFonts w:ascii="SimHei" w:eastAsia="SimHei" w:hAnsi="SimHei"/>
                <w:b/>
                <w:sz w:val="32"/>
                <w:szCs w:val="32"/>
              </w:rPr>
            </w:r>
            <w:r>
              <w:rPr>
                <w:rFonts w:ascii="SimHei" w:eastAsia="SimHei" w:hAnsi="SimHei"/>
                <w:b/>
                <w:sz w:val="32"/>
                <w:szCs w:val="32"/>
              </w:rPr>
              <w:fldChar w:fldCharType="separate"/>
            </w:r>
            <w:r w:rsidR="001069D7">
              <w:rPr>
                <w:rFonts w:ascii="SimHei" w:eastAsia="SimHei" w:hAnsi="SimHei"/>
                <w:b/>
                <w:noProof/>
                <w:sz w:val="32"/>
                <w:szCs w:val="32"/>
              </w:rPr>
              <w:t>11</w:t>
            </w:r>
            <w:r>
              <w:rPr>
                <w:rFonts w:ascii="SimHei" w:eastAsia="SimHei" w:hAnsi="SimHei"/>
                <w:b/>
                <w:sz w:val="32"/>
                <w:szCs w:val="32"/>
              </w:rPr>
              <w:fldChar w:fldCharType="end"/>
            </w:r>
          </w:hyperlink>
        </w:p>
        <w:p w14:paraId="7F188CA3" w14:textId="77777777" w:rsidR="000639E2" w:rsidRDefault="00000000">
          <w:pPr>
            <w:pStyle w:val="20"/>
            <w:tabs>
              <w:tab w:val="right" w:leader="dot" w:pos="8306"/>
            </w:tabs>
            <w:spacing w:line="312" w:lineRule="auto"/>
            <w:rPr>
              <w:rFonts w:ascii="SimHei" w:eastAsia="SimHei" w:hAnsi="SimHei" w:cs="SimHei"/>
              <w:b/>
              <w:bCs/>
              <w:sz w:val="28"/>
              <w:szCs w:val="28"/>
            </w:rPr>
            <w:sectPr w:rsidR="000639E2">
              <w:footerReference w:type="default" r:id="rId8"/>
              <w:pgSz w:w="11906" w:h="16838"/>
              <w:pgMar w:top="1440" w:right="1800" w:bottom="1440" w:left="1800" w:header="851" w:footer="992" w:gutter="0"/>
              <w:pgNumType w:start="1"/>
              <w:cols w:space="425"/>
              <w:docGrid w:type="lines" w:linePitch="312"/>
            </w:sectPr>
          </w:pPr>
          <w:r>
            <w:rPr>
              <w:rFonts w:ascii="SimHei" w:eastAsia="SimHei" w:hAnsi="SimHei"/>
              <w:sz w:val="32"/>
              <w:szCs w:val="32"/>
            </w:rPr>
            <w:fldChar w:fldCharType="end"/>
          </w:r>
        </w:p>
      </w:sdtContent>
    </w:sdt>
    <w:p w14:paraId="6BD8430C" w14:textId="77777777" w:rsidR="000639E2" w:rsidRDefault="00000000">
      <w:pPr>
        <w:spacing w:line="360" w:lineRule="auto"/>
        <w:ind w:firstLineChars="196" w:firstLine="627"/>
        <w:outlineLvl w:val="0"/>
        <w:rPr>
          <w:rFonts w:ascii="FangSong" w:eastAsia="FangSong" w:hAnsi="FangSong"/>
          <w:bCs/>
          <w:color w:val="000000" w:themeColor="text1"/>
          <w:kern w:val="0"/>
          <w:sz w:val="32"/>
          <w:szCs w:val="32"/>
        </w:rPr>
      </w:pPr>
      <w:bookmarkStart w:id="0" w:name="_Toc124498232"/>
      <w:r>
        <w:rPr>
          <w:rFonts w:ascii="SimHei" w:eastAsia="SimHei" w:hAnsi="SimHei" w:cs="SimHei" w:hint="eastAsia"/>
          <w:sz w:val="32"/>
          <w:szCs w:val="32"/>
        </w:rPr>
        <w:lastRenderedPageBreak/>
        <w:t>一、概述</w:t>
      </w:r>
      <w:bookmarkEnd w:id="0"/>
    </w:p>
    <w:p w14:paraId="62910AAF" w14:textId="77777777" w:rsidR="000639E2" w:rsidRDefault="00000000">
      <w:pPr>
        <w:spacing w:line="360" w:lineRule="auto"/>
        <w:ind w:firstLineChars="196" w:firstLine="627"/>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化妆品监督管理条例》（以下简称《条例》）相较于《化妆品卫生监督条例》，对化妆品新原料管理制度进行重大调整，按照风险程度对化妆品新原料实行分类管理，即对具有防腐、防晒、着色、染发、祛斑美白功能的较高风险的化妆品新原料实行注册管理，对其他新原料实行备案管理。实行备案管理的新原料与实行注册管理的新原料，在安全性要求方面是一致的。</w:t>
      </w:r>
    </w:p>
    <w:p w14:paraId="7153C7FE" w14:textId="77777777" w:rsidR="000639E2" w:rsidRDefault="00000000">
      <w:pPr>
        <w:spacing w:line="360" w:lineRule="auto"/>
        <w:ind w:firstLineChars="196" w:firstLine="627"/>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《条例》中化妆品新原料的定义为“在我国境内首次使用于化妆品的天然或人工原料为化妆品新原料”。</w:t>
      </w:r>
      <w:r>
        <w:rPr>
          <w:rFonts w:ascii="FangSong" w:eastAsia="FangSong" w:hAnsi="FangSong"/>
          <w:bCs/>
          <w:color w:val="000000" w:themeColor="text1"/>
          <w:kern w:val="0"/>
          <w:sz w:val="32"/>
          <w:szCs w:val="32"/>
        </w:rPr>
        <w:t>2021年</w:t>
      </w:r>
      <w:r>
        <w:rPr>
          <w:rFonts w:ascii="FangSong" w:eastAsia="FangSong" w:hAnsi="FangSong" w:hint="eastAsia"/>
          <w:bCs/>
          <w:color w:val="000000" w:themeColor="text1"/>
          <w:kern w:val="0"/>
          <w:sz w:val="32"/>
          <w:szCs w:val="32"/>
        </w:rPr>
        <w:t>4月，国家药品监督管理局发布了《已使用化妆品原料目录》。目前根据化妆品新原料的定义和《已使用化妆品原料目录》，仍时常存在较难判定某一原料是否为化妆品新原料的情况，因此，有必要对化妆品新原料定义的内涵与外延开展进一步的研究。</w:t>
      </w:r>
    </w:p>
    <w:p w14:paraId="362C551C" w14:textId="77777777" w:rsidR="000639E2" w:rsidRDefault="00000000">
      <w:pPr>
        <w:spacing w:line="360" w:lineRule="auto"/>
        <w:ind w:firstLineChars="196" w:firstLine="627"/>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为规范开展化妆品新原料的安全评价工作，根据《条例》《化妆品注册备案管理办法》和《化妆品新原料注册备案资料管理规定》（以下简称《规定》）及相关法律法规、国家标准和技术规范的要求，制定本指导原则。</w:t>
      </w:r>
    </w:p>
    <w:p w14:paraId="5DC9D422" w14:textId="77777777" w:rsidR="000639E2" w:rsidRDefault="00000000">
      <w:pPr>
        <w:spacing w:line="360" w:lineRule="auto"/>
        <w:ind w:firstLineChars="196" w:firstLine="627"/>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本指导原则是在现行法规和标准以及当前科学认知水平下制定的，随着法规和标准的更新完善，以及科学技术的发展，将适时进行调整。</w:t>
      </w:r>
    </w:p>
    <w:p w14:paraId="22DC08B3" w14:textId="77777777" w:rsidR="000639E2" w:rsidRDefault="00000000">
      <w:pPr>
        <w:spacing w:line="360" w:lineRule="auto"/>
        <w:ind w:firstLineChars="200" w:firstLine="640"/>
        <w:outlineLvl w:val="0"/>
        <w:rPr>
          <w:rFonts w:ascii="SimHei" w:eastAsia="SimHei" w:hAnsi="SimHei" w:cs="SimHei"/>
          <w:sz w:val="32"/>
          <w:szCs w:val="32"/>
        </w:rPr>
      </w:pPr>
      <w:bookmarkStart w:id="1" w:name="_Toc124498233"/>
      <w:r>
        <w:rPr>
          <w:rFonts w:ascii="SimHei" w:eastAsia="SimHei" w:hAnsi="SimHei" w:cs="SimHei" w:hint="eastAsia"/>
          <w:sz w:val="32"/>
          <w:szCs w:val="32"/>
        </w:rPr>
        <w:lastRenderedPageBreak/>
        <w:t>二、适用范围</w:t>
      </w:r>
      <w:bookmarkEnd w:id="1"/>
    </w:p>
    <w:p w14:paraId="6E468787" w14:textId="77777777" w:rsidR="000639E2" w:rsidRDefault="00000000">
      <w:pPr>
        <w:spacing w:line="360" w:lineRule="auto"/>
        <w:ind w:firstLineChars="200" w:firstLine="640"/>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化妆品新原料注册人、备案人开展化妆品新原料研究及安全评估时，适用本指导原则。</w:t>
      </w:r>
    </w:p>
    <w:p w14:paraId="22CA3158" w14:textId="77777777" w:rsidR="000639E2" w:rsidRDefault="00000000">
      <w:pPr>
        <w:numPr>
          <w:ilvl w:val="255"/>
          <w:numId w:val="0"/>
        </w:numPr>
        <w:spacing w:line="360" w:lineRule="auto"/>
        <w:ind w:firstLineChars="200" w:firstLine="640"/>
        <w:outlineLvl w:val="0"/>
        <w:rPr>
          <w:rFonts w:ascii="SimHei" w:eastAsia="SimHei" w:hAnsi="SimHei" w:cs="SimHei"/>
          <w:sz w:val="32"/>
          <w:szCs w:val="32"/>
        </w:rPr>
      </w:pPr>
      <w:bookmarkStart w:id="2" w:name="_Toc124498234"/>
      <w:r>
        <w:rPr>
          <w:rFonts w:ascii="SimHei" w:eastAsia="SimHei" w:hAnsi="SimHei" w:cs="SimHei" w:hint="eastAsia"/>
          <w:sz w:val="32"/>
          <w:szCs w:val="32"/>
        </w:rPr>
        <w:t>三、一般原则</w:t>
      </w:r>
      <w:bookmarkEnd w:id="2"/>
    </w:p>
    <w:p w14:paraId="41D3B4A4" w14:textId="77777777" w:rsidR="000639E2" w:rsidRDefault="00000000">
      <w:pPr>
        <w:numPr>
          <w:ilvl w:val="255"/>
          <w:numId w:val="0"/>
        </w:numPr>
        <w:spacing w:line="360" w:lineRule="auto"/>
        <w:ind w:firstLineChars="200" w:firstLine="640"/>
        <w:rPr>
          <w:rFonts w:ascii="SimHei" w:eastAsia="SimHei" w:hAnsi="SimHei" w:cs="SimHei"/>
          <w:sz w:val="32"/>
          <w:szCs w:val="32"/>
        </w:rPr>
      </w:pPr>
      <w:r>
        <w:rPr>
          <w:rFonts w:ascii="FangSong" w:eastAsia="FangSong" w:hAnsi="FangSong" w:hint="eastAsia"/>
          <w:bCs/>
          <w:color w:val="000000" w:themeColor="text1"/>
          <w:kern w:val="0"/>
          <w:sz w:val="32"/>
          <w:szCs w:val="32"/>
        </w:rPr>
        <w:t>化妆品新原料注册人、备案人应以科学研究为基础，从原料的组成、来源属性、制备工艺、实际功能四个维度对新原料进行科学合理分类，并按照《规定》和本指导原则的要求开展新原料研究及安全评估。</w:t>
      </w:r>
    </w:p>
    <w:p w14:paraId="71C5CFD7" w14:textId="77777777" w:rsidR="000639E2" w:rsidRDefault="00000000">
      <w:pPr>
        <w:numPr>
          <w:ilvl w:val="255"/>
          <w:numId w:val="0"/>
        </w:numPr>
        <w:spacing w:line="360" w:lineRule="auto"/>
        <w:ind w:firstLineChars="200" w:firstLine="640"/>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化妆品新原料注册人、备案人在新原料研究报告中应客观、准确地描述新原料的性状、特征和安全使用要求；应清楚阐述新原料的来源、研制情况、制备工艺及其质量控制情况和安全评估情况等内容；应明确新原料的实际功能，并通过量效关系研究确定新原料具有功能的起效量和安全使用限量；</w:t>
      </w:r>
      <w:r>
        <w:rPr>
          <w:rFonts w:ascii="FangSong" w:eastAsia="FangSong" w:hAnsi="FangSong" w:hint="eastAsia"/>
          <w:color w:val="000000" w:themeColor="text1"/>
          <w:kern w:val="0"/>
          <w:sz w:val="32"/>
          <w:szCs w:val="32"/>
        </w:rPr>
        <w:t>应说明制备过程中可能带入的内源性安全性风险物质及外源性污染物的情况及其控制措施；</w:t>
      </w:r>
      <w:r>
        <w:rPr>
          <w:rFonts w:ascii="FangSong" w:eastAsia="FangSong" w:hAnsi="FangSong" w:hint="eastAsia"/>
          <w:bCs/>
          <w:color w:val="000000" w:themeColor="text1"/>
          <w:kern w:val="0"/>
          <w:sz w:val="32"/>
          <w:szCs w:val="32"/>
        </w:rPr>
        <w:t>应通过毒理学试验和安全评估充分证明并明确新原料在限定的使用条件下，用于化妆品生产的安全使用量和质量可控性；应完整保存新原料的研制、质量控制、安全评价等相关试验的原始数据，并留档备查。新原料的研究及安全评估应合法、真实、准确、完整和可追溯。</w:t>
      </w:r>
    </w:p>
    <w:p w14:paraId="4CC36A42" w14:textId="77777777" w:rsidR="000639E2" w:rsidRDefault="00000000">
      <w:pPr>
        <w:spacing w:line="360" w:lineRule="auto"/>
        <w:ind w:firstLineChars="200" w:firstLine="640"/>
        <w:outlineLvl w:val="0"/>
        <w:rPr>
          <w:rFonts w:ascii="SimHei" w:eastAsia="SimHei" w:hAnsi="SimHei" w:cs="SimHei"/>
          <w:sz w:val="32"/>
          <w:szCs w:val="32"/>
        </w:rPr>
      </w:pPr>
      <w:bookmarkStart w:id="3" w:name="_Toc124498235"/>
      <w:r>
        <w:rPr>
          <w:rFonts w:ascii="SimHei" w:eastAsia="SimHei" w:hAnsi="SimHei" w:cs="SimHei" w:hint="eastAsia"/>
          <w:sz w:val="32"/>
          <w:szCs w:val="32"/>
        </w:rPr>
        <w:t>四、化妆品新原料的判定原则</w:t>
      </w:r>
      <w:bookmarkEnd w:id="3"/>
    </w:p>
    <w:p w14:paraId="7FD04941" w14:textId="77777777" w:rsidR="000639E2" w:rsidRDefault="00000000">
      <w:pPr>
        <w:spacing w:line="360" w:lineRule="auto"/>
        <w:ind w:firstLineChars="200" w:firstLine="640"/>
        <w:rPr>
          <w:rFonts w:ascii="FangSong" w:hAnsi="FangSong"/>
          <w:color w:val="000000" w:themeColor="text1"/>
          <w:kern w:val="0"/>
        </w:rPr>
      </w:pPr>
      <w:r>
        <w:rPr>
          <w:rFonts w:ascii="FangSong" w:eastAsia="FangSong" w:hAnsi="FangSong" w:hint="eastAsia"/>
          <w:bCs/>
          <w:color w:val="000000" w:themeColor="text1"/>
          <w:kern w:val="0"/>
          <w:sz w:val="32"/>
          <w:szCs w:val="32"/>
        </w:rPr>
        <w:t>化妆品新原料注册人、备案人在新原料研究中，应对原</w:t>
      </w:r>
      <w:r>
        <w:rPr>
          <w:rFonts w:ascii="FangSong" w:eastAsia="FangSong" w:hAnsi="FangSong" w:hint="eastAsia"/>
          <w:bCs/>
          <w:color w:val="000000" w:themeColor="text1"/>
          <w:kern w:val="0"/>
          <w:sz w:val="32"/>
          <w:szCs w:val="32"/>
        </w:rPr>
        <w:lastRenderedPageBreak/>
        <w:t>料的特征、组成、来源属性、预期的使用方法、施用部位、使用目的、具有的实际功能等进行全面梳理和充分研究，准确、科学地判断原料是否属于化妆品新原料。</w:t>
      </w:r>
    </w:p>
    <w:p w14:paraId="7497364D" w14:textId="77777777" w:rsidR="000639E2" w:rsidRDefault="00000000">
      <w:pPr>
        <w:spacing w:line="360" w:lineRule="auto"/>
        <w:ind w:leftChars="100" w:left="210" w:firstLineChars="96" w:firstLine="307"/>
        <w:rPr>
          <w:rFonts w:ascii="FangSong" w:eastAsia="FangSong" w:hAnsi="FangSong"/>
          <w:b/>
          <w:bCs/>
          <w:color w:val="000000" w:themeColor="text1"/>
          <w:kern w:val="0"/>
          <w:sz w:val="32"/>
          <w:szCs w:val="32"/>
        </w:rPr>
      </w:pPr>
      <w:r>
        <w:rPr>
          <w:rFonts w:ascii="FangSong" w:eastAsia="FangSong" w:hAnsi="FangSong" w:hint="eastAsia"/>
          <w:color w:val="000000" w:themeColor="text1"/>
          <w:kern w:val="0"/>
          <w:sz w:val="32"/>
          <w:szCs w:val="32"/>
        </w:rPr>
        <w:t>（一）符合以下情形之一的，属于化妆品新原料：</w:t>
      </w:r>
    </w:p>
    <w:p w14:paraId="680B1331" w14:textId="77777777" w:rsidR="000639E2" w:rsidRDefault="00000000">
      <w:pPr>
        <w:spacing w:line="360" w:lineRule="auto"/>
        <w:ind w:firstLineChars="196" w:firstLine="627"/>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1.在我国境内首次用于化妆品的天然或者人工原料,</w:t>
      </w:r>
      <w:r>
        <w:t xml:space="preserve"> </w:t>
      </w:r>
      <w:r>
        <w:rPr>
          <w:rFonts w:ascii="FangSong" w:eastAsia="FangSong" w:hAnsi="FangSong" w:hint="eastAsia"/>
          <w:bCs/>
          <w:color w:val="000000" w:themeColor="text1"/>
          <w:kern w:val="0"/>
          <w:sz w:val="32"/>
          <w:szCs w:val="32"/>
        </w:rPr>
        <w:t>且其预期的使用方法、施用部位、使用目的符合化妆品定义的范畴。</w:t>
      </w:r>
      <w:r>
        <w:rPr>
          <w:rFonts w:ascii="FangSong" w:eastAsia="FangSong" w:hAnsi="FangSong"/>
          <w:bCs/>
          <w:color w:val="000000" w:themeColor="text1"/>
          <w:kern w:val="0"/>
          <w:sz w:val="32"/>
          <w:szCs w:val="32"/>
        </w:rPr>
        <w:t xml:space="preserve"> </w:t>
      </w:r>
    </w:p>
    <w:p w14:paraId="0BEC3C4F"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2.调整已使用化妆品原料的使用目的或安全使用量等的原料。</w:t>
      </w:r>
    </w:p>
    <w:p w14:paraId="00D25FB2"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3.虽已注册或备案，但尚未纳入《已使用化妆品原料目</w:t>
      </w:r>
      <w:r>
        <w:rPr>
          <w:rFonts w:ascii="FangSong" w:eastAsia="FangSong" w:hAnsi="FangSong" w:hint="eastAsia"/>
          <w:bCs/>
          <w:color w:val="000000" w:themeColor="text1"/>
          <w:kern w:val="0"/>
          <w:sz w:val="32"/>
          <w:szCs w:val="32"/>
        </w:rPr>
        <w:t>录》的原料。</w:t>
      </w:r>
    </w:p>
    <w:p w14:paraId="21ADDD99"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（二）符合以下情形之一的原料，不属于化妆品新原料：</w:t>
      </w:r>
    </w:p>
    <w:p w14:paraId="261AF753" w14:textId="77777777" w:rsidR="000639E2" w:rsidRDefault="00000000">
      <w:pPr>
        <w:spacing w:line="360" w:lineRule="auto"/>
        <w:ind w:firstLineChars="200" w:firstLine="640"/>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1.原料预期的使用方法、施用部位或者使用目的不符合化妆品定义的范畴。例如某种原料发挥作用的使用方法是通过口服、吸入</w:t>
      </w:r>
      <w:r>
        <w:rPr>
          <w:rFonts w:ascii="FangSong" w:eastAsia="FangSong" w:hAnsi="FangSong" w:hint="eastAsia"/>
          <w:bCs/>
          <w:color w:val="000000" w:themeColor="text1"/>
          <w:kern w:val="0"/>
          <w:sz w:val="32"/>
          <w:szCs w:val="32"/>
        </w:rPr>
        <w:t>或者注射；某种原料发挥作用的施用部位为粘膜或者穴位等；某种原料的使用目的为疤痕修复、细胞再生或者驱蚊等。</w:t>
      </w:r>
    </w:p>
    <w:p w14:paraId="738EE7BB"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 xml:space="preserve">2. </w:t>
      </w:r>
      <w:r>
        <w:rPr>
          <w:rFonts w:ascii="FangSong" w:eastAsia="FangSong" w:hAnsi="FangSong" w:hint="eastAsia"/>
          <w:bCs/>
          <w:color w:val="000000" w:themeColor="text1"/>
          <w:kern w:val="0"/>
          <w:sz w:val="32"/>
          <w:szCs w:val="32"/>
        </w:rPr>
        <w:t>已收录于《已使用化妆品原料目录》的原料。</w:t>
      </w:r>
    </w:p>
    <w:p w14:paraId="4C5CD872"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3.《化妆品安全技术规范》已规定为禁用组分的原料</w:t>
      </w:r>
      <w:r>
        <w:rPr>
          <w:rFonts w:ascii="FangSong" w:eastAsia="FangSong" w:hAnsi="FangSong" w:hint="eastAsia"/>
          <w:bCs/>
          <w:color w:val="000000" w:themeColor="text1"/>
          <w:kern w:val="0"/>
          <w:sz w:val="32"/>
          <w:szCs w:val="32"/>
        </w:rPr>
        <w:t>。如人的细胞、组织或人源产品；抗组胺药物；激素类物质等。</w:t>
      </w:r>
    </w:p>
    <w:p w14:paraId="20E8780A" w14:textId="77777777" w:rsidR="000639E2" w:rsidRDefault="00000000">
      <w:pPr>
        <w:spacing w:line="360" w:lineRule="auto"/>
        <w:ind w:firstLine="648"/>
        <w:rPr>
          <w:rFonts w:ascii="FangSong" w:eastAsia="FangSong" w:hAnsi="FangSong"/>
          <w:bCs/>
          <w:color w:val="000000" w:themeColor="text1"/>
          <w:kern w:val="0"/>
          <w:sz w:val="32"/>
          <w:szCs w:val="32"/>
        </w:rPr>
      </w:pPr>
      <w:r>
        <w:rPr>
          <w:rFonts w:ascii="FangSong" w:eastAsia="FangSong" w:hAnsi="FangSong"/>
          <w:bCs/>
          <w:color w:val="000000" w:themeColor="text1"/>
          <w:kern w:val="0"/>
          <w:sz w:val="32"/>
          <w:szCs w:val="32"/>
        </w:rPr>
        <w:t>4.实际功能或者客观功效超出化妆品的定义范畴的原料。如具有“激活细胞”“再生细胞”“降低伤口部位的色</w:t>
      </w:r>
      <w:r>
        <w:rPr>
          <w:rFonts w:ascii="FangSong" w:eastAsia="FangSong" w:hAnsi="FangSong"/>
          <w:bCs/>
          <w:color w:val="000000" w:themeColor="text1"/>
          <w:kern w:val="0"/>
          <w:sz w:val="32"/>
          <w:szCs w:val="32"/>
        </w:rPr>
        <w:lastRenderedPageBreak/>
        <w:t>素沉着”“促愈合作用”“促进重金属外排”“抗衰老”等</w:t>
      </w:r>
      <w:r>
        <w:rPr>
          <w:rFonts w:ascii="FangSong" w:eastAsia="FangSong" w:hAnsi="FangSong" w:hint="eastAsia"/>
          <w:bCs/>
          <w:color w:val="000000" w:themeColor="text1"/>
          <w:kern w:val="0"/>
          <w:sz w:val="32"/>
          <w:szCs w:val="32"/>
        </w:rPr>
        <w:t>功能的原料；各种来源的具有促进细胞或组织增殖活性的生物因子（蛋白或多肽等）如表皮生长因子（</w:t>
      </w:r>
      <w:r>
        <w:rPr>
          <w:rFonts w:ascii="FangSong" w:eastAsia="FangSong" w:hAnsi="FangSong"/>
          <w:bCs/>
          <w:color w:val="000000" w:themeColor="text1"/>
          <w:kern w:val="0"/>
          <w:sz w:val="32"/>
          <w:szCs w:val="32"/>
        </w:rPr>
        <w:t>EGF）</w:t>
      </w:r>
      <w:r>
        <w:rPr>
          <w:rFonts w:ascii="FangSong" w:eastAsia="FangSong" w:hAnsi="FangSong" w:hint="eastAsia"/>
          <w:bCs/>
          <w:color w:val="000000" w:themeColor="text1"/>
          <w:kern w:val="0"/>
          <w:sz w:val="32"/>
          <w:szCs w:val="32"/>
        </w:rPr>
        <w:t>、成纤维细胞生长因子（</w:t>
      </w:r>
      <w:r>
        <w:rPr>
          <w:rFonts w:ascii="FangSong" w:eastAsia="FangSong" w:hAnsi="FangSong"/>
          <w:bCs/>
          <w:color w:val="000000" w:themeColor="text1"/>
          <w:kern w:val="0"/>
          <w:sz w:val="32"/>
          <w:szCs w:val="32"/>
        </w:rPr>
        <w:t>FGF）、胰岛素生长因子-2（IGF-2）、血管内皮生长因子（VEGF）、血小板源生长因子（PDGF）、结缔组织生长因子（CTGF）、转化生长因子β1（TGF-β1）等；其他如外</w:t>
      </w:r>
      <w:r>
        <w:rPr>
          <w:rFonts w:ascii="FangSong" w:eastAsia="FangSong" w:hAnsi="FangSong" w:hint="eastAsia"/>
          <w:bCs/>
          <w:color w:val="000000" w:themeColor="text1"/>
          <w:kern w:val="0"/>
          <w:sz w:val="32"/>
          <w:szCs w:val="32"/>
        </w:rPr>
        <w:t>泌体、干细胞来源的原料等。</w:t>
      </w:r>
    </w:p>
    <w:p w14:paraId="1151DD52" w14:textId="77777777" w:rsidR="000639E2" w:rsidRDefault="00000000">
      <w:pPr>
        <w:spacing w:line="360" w:lineRule="auto"/>
        <w:ind w:firstLineChars="200" w:firstLine="640"/>
        <w:outlineLvl w:val="0"/>
        <w:rPr>
          <w:rFonts w:ascii="SimHei" w:eastAsia="SimHei" w:hAnsi="SimHei" w:cs="SimHei"/>
          <w:sz w:val="32"/>
          <w:szCs w:val="32"/>
        </w:rPr>
      </w:pPr>
      <w:bookmarkStart w:id="4" w:name="_Toc124498236"/>
      <w:r>
        <w:rPr>
          <w:rFonts w:ascii="SimHei" w:eastAsia="SimHei" w:hAnsi="SimHei" w:cs="SimHei" w:hint="eastAsia"/>
          <w:sz w:val="32"/>
          <w:szCs w:val="32"/>
        </w:rPr>
        <w:t>五、化妆品新原料的分类原则</w:t>
      </w:r>
      <w:bookmarkEnd w:id="4"/>
    </w:p>
    <w:p w14:paraId="0CA4436C" w14:textId="77777777" w:rsidR="000639E2" w:rsidRDefault="00000000">
      <w:pPr>
        <w:spacing w:line="360" w:lineRule="auto"/>
        <w:ind w:firstLineChars="200" w:firstLine="640"/>
        <w:rPr>
          <w:rFonts w:ascii="FangSong" w:eastAsia="FangSong" w:hAnsi="FangSong" w:cs="FangSong"/>
          <w:sz w:val="32"/>
          <w:szCs w:val="32"/>
        </w:rPr>
      </w:pPr>
      <w:r>
        <w:rPr>
          <w:rFonts w:ascii="FangSong" w:eastAsia="FangSong" w:hAnsi="FangSong" w:cs="FangSong" w:hint="eastAsia"/>
          <w:sz w:val="32"/>
          <w:szCs w:val="32"/>
        </w:rPr>
        <w:t>化妆品新原料注册人、备案人应对新原料进行全面充分研究，可从原料的组成、来源属性、制备工艺、实际功能四个维度对新原料进行科学合理分类。</w:t>
      </w:r>
    </w:p>
    <w:p w14:paraId="14BB354B" w14:textId="77777777" w:rsidR="000639E2" w:rsidRDefault="00000000">
      <w:pPr>
        <w:tabs>
          <w:tab w:val="left" w:pos="567"/>
        </w:tabs>
        <w:adjustRightInd w:val="0"/>
        <w:spacing w:line="360" w:lineRule="auto"/>
        <w:ind w:firstLineChars="200" w:firstLine="643"/>
        <w:outlineLvl w:val="1"/>
        <w:rPr>
          <w:rFonts w:ascii="FangSong" w:eastAsia="FangSong" w:hAnsi="FangSong" w:cs="FangSong"/>
          <w:b/>
          <w:bCs/>
          <w:sz w:val="32"/>
          <w:szCs w:val="32"/>
        </w:rPr>
      </w:pPr>
      <w:bookmarkStart w:id="5" w:name="_Toc124498237"/>
      <w:r>
        <w:rPr>
          <w:rFonts w:ascii="FangSong" w:eastAsia="FangSong" w:hAnsi="FangSong" w:cs="FangSong" w:hint="eastAsia"/>
          <w:b/>
          <w:bCs/>
          <w:sz w:val="32"/>
          <w:szCs w:val="32"/>
        </w:rPr>
        <w:t>（一）新原料组成分类</w:t>
      </w:r>
      <w:bookmarkEnd w:id="5"/>
    </w:p>
    <w:p w14:paraId="6CF8346B" w14:textId="77777777" w:rsidR="000639E2" w:rsidRDefault="00000000">
      <w:pPr>
        <w:spacing w:line="360" w:lineRule="auto"/>
        <w:ind w:firstLineChars="200" w:firstLine="640"/>
        <w:rPr>
          <w:rFonts w:ascii="FangSong" w:eastAsia="FangSong" w:hAnsi="FangSong" w:cs="FangSong"/>
          <w:sz w:val="32"/>
          <w:szCs w:val="32"/>
        </w:rPr>
      </w:pPr>
      <w:r>
        <w:rPr>
          <w:rFonts w:ascii="FangSong" w:eastAsia="FangSong" w:hAnsi="FangSong" w:cs="FangSong" w:hint="eastAsia"/>
          <w:sz w:val="32"/>
          <w:szCs w:val="32"/>
        </w:rPr>
        <w:t>按照新原料化学结构特点和纯度可将新原料分为单一组分新原料和非单一组分新原料。</w:t>
      </w:r>
    </w:p>
    <w:p w14:paraId="08FFD33A" w14:textId="77777777" w:rsidR="000639E2" w:rsidRDefault="00000000">
      <w:pPr>
        <w:tabs>
          <w:tab w:val="left" w:pos="1305"/>
        </w:tabs>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color w:val="000000" w:themeColor="text1"/>
          <w:kern w:val="0"/>
          <w:sz w:val="32"/>
          <w:szCs w:val="32"/>
        </w:rPr>
        <w:t>1.</w:t>
      </w:r>
      <w:r>
        <w:rPr>
          <w:rFonts w:ascii="FangSong" w:eastAsia="FangSong" w:hAnsi="FangSong" w:hint="eastAsia"/>
          <w:b/>
          <w:color w:val="000000" w:themeColor="text1"/>
          <w:kern w:val="0"/>
          <w:sz w:val="32"/>
          <w:szCs w:val="32"/>
        </w:rPr>
        <w:t>单一组分新原料</w:t>
      </w:r>
    </w:p>
    <w:p w14:paraId="59571057" w14:textId="77777777" w:rsidR="000639E2" w:rsidRDefault="00000000">
      <w:pPr>
        <w:tabs>
          <w:tab w:val="left" w:pos="567"/>
        </w:tabs>
        <w:adjustRightInd w:val="0"/>
        <w:spacing w:line="360" w:lineRule="auto"/>
        <w:ind w:firstLine="641"/>
        <w:rPr>
          <w:rFonts w:eastAsia="FangSong_GB2312"/>
          <w:sz w:val="32"/>
          <w:szCs w:val="32"/>
        </w:rPr>
      </w:pPr>
      <w:r>
        <w:rPr>
          <w:rFonts w:eastAsia="FangSong_GB2312" w:hint="eastAsia"/>
          <w:sz w:val="32"/>
          <w:szCs w:val="32"/>
        </w:rPr>
        <w:t>单一组分新原料应说明</w:t>
      </w:r>
      <w:r>
        <w:rPr>
          <w:rFonts w:eastAsia="FangSong_GB2312"/>
          <w:sz w:val="32"/>
          <w:szCs w:val="32"/>
        </w:rPr>
        <w:t>原料纯度或含量及其检验方法和结果</w:t>
      </w:r>
      <w:r>
        <w:rPr>
          <w:rFonts w:eastAsia="FangSong_GB2312" w:hint="eastAsia"/>
          <w:sz w:val="32"/>
          <w:szCs w:val="32"/>
        </w:rPr>
        <w:t>，其</w:t>
      </w:r>
      <w:r>
        <w:rPr>
          <w:rFonts w:ascii="FangSong" w:eastAsia="FangSong" w:hAnsi="FangSong" w:hint="eastAsia"/>
          <w:color w:val="000000" w:themeColor="text1"/>
          <w:kern w:val="0"/>
          <w:sz w:val="32"/>
          <w:szCs w:val="32"/>
        </w:rPr>
        <w:t>单一组分化学物质含量</w:t>
      </w:r>
      <w:r>
        <w:rPr>
          <w:rFonts w:ascii="Times New Roman" w:eastAsia="FangSong" w:hAnsi="Times New Roman" w:hint="eastAsia"/>
          <w:sz w:val="32"/>
          <w:szCs w:val="32"/>
        </w:rPr>
        <w:t>≥</w:t>
      </w:r>
      <w:r>
        <w:rPr>
          <w:rFonts w:ascii="Times New Roman" w:eastAsia="FangSong" w:hAnsi="Times New Roman"/>
          <w:sz w:val="32"/>
          <w:szCs w:val="32"/>
        </w:rPr>
        <w:t>80%</w:t>
      </w:r>
      <w:r>
        <w:rPr>
          <w:rFonts w:ascii="Times New Roman" w:eastAsia="FangSong" w:hAnsi="Times New Roman" w:hint="eastAsia"/>
          <w:sz w:val="32"/>
          <w:szCs w:val="32"/>
        </w:rPr>
        <w:t>，</w:t>
      </w:r>
      <w:r>
        <w:rPr>
          <w:rFonts w:eastAsia="FangSong_GB2312" w:hint="eastAsia"/>
          <w:sz w:val="32"/>
          <w:szCs w:val="32"/>
        </w:rPr>
        <w:t>并应明确单一组分化学物质之外的</w:t>
      </w:r>
      <w:r>
        <w:rPr>
          <w:rFonts w:eastAsia="FangSong_GB2312"/>
          <w:sz w:val="32"/>
          <w:szCs w:val="32"/>
        </w:rPr>
        <w:t>物质组成及含量</w:t>
      </w:r>
      <w:r>
        <w:rPr>
          <w:rFonts w:eastAsia="FangSong_GB2312" w:hint="eastAsia"/>
          <w:sz w:val="32"/>
          <w:szCs w:val="32"/>
        </w:rPr>
        <w:t>；应明确化学结构和相对分子质量，提供化学结构的确认依据（如核磁共振谱图、元素分析、质谱图、红外谱图等）、检测报告，应有具体解析过程；若原料存在同分异构体的还应说明原料构型的确定依据。聚合物还应提供聚合度以及平均相对分子质量及其分布</w:t>
      </w:r>
      <w:r>
        <w:rPr>
          <w:rFonts w:eastAsia="FangSong_GB2312" w:hint="eastAsia"/>
          <w:sz w:val="32"/>
          <w:szCs w:val="32"/>
        </w:rPr>
        <w:lastRenderedPageBreak/>
        <w:t>的检测方法和结果。</w:t>
      </w:r>
    </w:p>
    <w:p w14:paraId="7C1AC340" w14:textId="77777777" w:rsidR="000639E2" w:rsidRDefault="00000000">
      <w:pPr>
        <w:spacing w:line="360" w:lineRule="auto"/>
        <w:ind w:firstLine="578"/>
        <w:rPr>
          <w:rFonts w:ascii="FangSong" w:eastAsia="FangSong" w:hAnsi="FangSong"/>
          <w:color w:val="000000" w:themeColor="text1"/>
          <w:kern w:val="0"/>
          <w:sz w:val="32"/>
          <w:szCs w:val="32"/>
        </w:rPr>
      </w:pPr>
      <w:r>
        <w:rPr>
          <w:rFonts w:ascii="FangSong" w:eastAsia="FangSong" w:hAnsi="FangSong"/>
          <w:b/>
          <w:color w:val="000000" w:themeColor="text1"/>
          <w:kern w:val="0"/>
          <w:sz w:val="32"/>
          <w:szCs w:val="32"/>
        </w:rPr>
        <w:t>2.非单一组分新原料</w:t>
      </w:r>
    </w:p>
    <w:p w14:paraId="29C172CD" w14:textId="77777777" w:rsidR="000639E2" w:rsidRDefault="00000000">
      <w:pPr>
        <w:spacing w:line="360" w:lineRule="auto"/>
        <w:ind w:firstLine="578"/>
        <w:rPr>
          <w:rFonts w:ascii="FangSong" w:eastAsia="FangSong" w:hAnsi="FangSong" w:cs="FangSong"/>
          <w:sz w:val="32"/>
          <w:szCs w:val="32"/>
        </w:rPr>
      </w:pPr>
      <w:r>
        <w:rPr>
          <w:rFonts w:ascii="FangSong" w:eastAsia="FangSong" w:hAnsi="FangSong" w:cs="FangSong" w:hint="eastAsia"/>
          <w:sz w:val="32"/>
          <w:szCs w:val="32"/>
        </w:rPr>
        <w:t>非单一组分新原料，</w:t>
      </w:r>
      <w:r>
        <w:rPr>
          <w:rFonts w:ascii="FangSong" w:eastAsia="FangSong" w:hAnsi="FangSong" w:hint="eastAsia"/>
          <w:color w:val="000000" w:themeColor="text1"/>
          <w:kern w:val="0"/>
          <w:sz w:val="32"/>
          <w:szCs w:val="32"/>
        </w:rPr>
        <w:t>如多聚物、植物提取物、发酵产物、水解产物等，</w:t>
      </w:r>
      <w:r>
        <w:rPr>
          <w:rFonts w:ascii="FangSong" w:eastAsia="FangSong" w:hAnsi="FangSong" w:cs="FangSong" w:hint="eastAsia"/>
          <w:sz w:val="32"/>
          <w:szCs w:val="32"/>
        </w:rPr>
        <w:t>应提供最</w:t>
      </w:r>
      <w:r>
        <w:rPr>
          <w:rFonts w:ascii="FangSong" w:eastAsia="FangSong" w:hAnsi="FangSong" w:cs="FangSong" w:hint="eastAsia"/>
          <w:kern w:val="0"/>
          <w:sz w:val="32"/>
          <w:szCs w:val="32"/>
        </w:rPr>
        <w:t>终原料的具体存在形式，若因技术上不可避免添加助剂的，还需明确添加的助剂</w:t>
      </w:r>
      <w:r>
        <w:rPr>
          <w:rFonts w:ascii="FangSong" w:eastAsia="FangSong" w:hAnsi="FangSong" w:cs="FangSong" w:hint="eastAsia"/>
          <w:sz w:val="32"/>
          <w:szCs w:val="32"/>
        </w:rPr>
        <w:t>（如溶剂、防腐剂、稳定剂等）、使用量及其测定方法和结果；应</w:t>
      </w:r>
      <w:r>
        <w:rPr>
          <w:rFonts w:ascii="FangSong" w:eastAsia="FangSong" w:hAnsi="FangSong" w:cs="FangSong" w:hint="eastAsia"/>
          <w:kern w:val="0"/>
          <w:sz w:val="32"/>
          <w:szCs w:val="32"/>
        </w:rPr>
        <w:t>说明新原料主要化学成分或特征性成分（如多酚类、黄酮类、多糖类、多肽类、皂苷类等），并</w:t>
      </w:r>
      <w:r>
        <w:rPr>
          <w:rFonts w:ascii="FangSong" w:eastAsia="FangSong" w:hAnsi="FangSong" w:cs="FangSong" w:hint="eastAsia"/>
          <w:sz w:val="32"/>
          <w:szCs w:val="32"/>
        </w:rPr>
        <w:t>提供其主要化学组成的文献依据或实验依据。</w:t>
      </w:r>
    </w:p>
    <w:p w14:paraId="7D5DE262" w14:textId="77777777" w:rsidR="000639E2" w:rsidRDefault="00000000">
      <w:pPr>
        <w:spacing w:line="360" w:lineRule="auto"/>
        <w:ind w:firstLine="578"/>
        <w:rPr>
          <w:rFonts w:ascii="FangSong" w:eastAsia="FangSong" w:hAnsi="FangSong" w:cs="FangSong"/>
          <w:sz w:val="32"/>
          <w:szCs w:val="32"/>
        </w:rPr>
      </w:pPr>
      <w:r>
        <w:rPr>
          <w:rFonts w:ascii="FangSong" w:eastAsia="FangSong" w:hAnsi="FangSong" w:hint="eastAsia"/>
          <w:color w:val="000000" w:themeColor="text1"/>
          <w:kern w:val="0"/>
          <w:sz w:val="32"/>
          <w:szCs w:val="32"/>
        </w:rPr>
        <w:t>对化学组成不明确或者不稳定的原料应开展充分研究后，再对原料进行上述分类。</w:t>
      </w:r>
    </w:p>
    <w:p w14:paraId="15C2C77C" w14:textId="77777777" w:rsidR="000639E2" w:rsidRDefault="00000000">
      <w:pPr>
        <w:tabs>
          <w:tab w:val="left" w:pos="567"/>
        </w:tabs>
        <w:adjustRightInd w:val="0"/>
        <w:spacing w:line="360" w:lineRule="auto"/>
        <w:ind w:firstLineChars="200" w:firstLine="643"/>
        <w:outlineLvl w:val="1"/>
        <w:rPr>
          <w:rFonts w:ascii="FangSong" w:eastAsia="FangSong" w:hAnsi="FangSong" w:cs="FangSong"/>
          <w:b/>
          <w:bCs/>
          <w:sz w:val="32"/>
          <w:szCs w:val="32"/>
        </w:rPr>
      </w:pPr>
      <w:bookmarkStart w:id="6" w:name="_Toc124498238"/>
      <w:r>
        <w:rPr>
          <w:rFonts w:ascii="FangSong" w:eastAsia="FangSong" w:hAnsi="FangSong" w:cs="FangSong" w:hint="eastAsia"/>
          <w:b/>
          <w:bCs/>
          <w:sz w:val="32"/>
          <w:szCs w:val="32"/>
        </w:rPr>
        <w:t>（二）新原料来源属性分类</w:t>
      </w:r>
      <w:bookmarkEnd w:id="6"/>
    </w:p>
    <w:p w14:paraId="6C6B9984" w14:textId="77777777" w:rsidR="000639E2" w:rsidRDefault="00000000">
      <w:pPr>
        <w:spacing w:line="360" w:lineRule="auto"/>
        <w:ind w:firstLineChars="200" w:firstLine="640"/>
        <w:rPr>
          <w:rFonts w:ascii="FangSong" w:eastAsia="FangSong" w:hAnsi="FangSong" w:cs="FangSong"/>
          <w:bCs/>
          <w:color w:val="000000" w:themeColor="text1"/>
          <w:kern w:val="0"/>
          <w:sz w:val="32"/>
          <w:szCs w:val="32"/>
        </w:rPr>
      </w:pPr>
      <w:r>
        <w:rPr>
          <w:rFonts w:ascii="FangSong" w:eastAsia="FangSong" w:hAnsi="FangSong" w:cs="FangSong" w:hint="eastAsia"/>
          <w:bCs/>
          <w:color w:val="000000" w:themeColor="text1"/>
          <w:kern w:val="0"/>
          <w:sz w:val="32"/>
          <w:szCs w:val="32"/>
        </w:rPr>
        <w:t>新原料的来源属性可分为以下几类：</w:t>
      </w:r>
    </w:p>
    <w:p w14:paraId="76ED4301" w14:textId="77777777" w:rsidR="000639E2" w:rsidRDefault="00000000">
      <w:pPr>
        <w:spacing w:line="360" w:lineRule="auto"/>
        <w:ind w:firstLine="640"/>
        <w:rPr>
          <w:rFonts w:ascii="FangSong" w:eastAsia="FangSong" w:hAnsi="FangSong"/>
          <w:b/>
          <w:bCs/>
          <w:color w:val="000000" w:themeColor="text1"/>
          <w:kern w:val="0"/>
          <w:sz w:val="32"/>
          <w:szCs w:val="32"/>
        </w:rPr>
      </w:pPr>
      <w:r>
        <w:rPr>
          <w:rFonts w:ascii="FangSong" w:eastAsia="FangSong" w:hAnsi="FangSong"/>
          <w:b/>
          <w:bCs/>
          <w:color w:val="000000" w:themeColor="text1"/>
          <w:kern w:val="0"/>
          <w:sz w:val="32"/>
          <w:szCs w:val="32"/>
        </w:rPr>
        <w:t>1.植物</w:t>
      </w:r>
    </w:p>
    <w:p w14:paraId="0730667E" w14:textId="77777777" w:rsidR="000639E2" w:rsidRDefault="00000000">
      <w:pPr>
        <w:spacing w:line="360" w:lineRule="auto"/>
        <w:ind w:firstLine="640"/>
        <w:rPr>
          <w:rFonts w:ascii="FangSong" w:eastAsia="FangSong" w:hAnsi="FangSong"/>
          <w:bCs/>
          <w:color w:val="000000" w:themeColor="text1"/>
          <w:kern w:val="0"/>
          <w:sz w:val="32"/>
          <w:szCs w:val="32"/>
        </w:rPr>
      </w:pPr>
      <w:r>
        <w:rPr>
          <w:rFonts w:ascii="FangSong" w:eastAsia="FangSong" w:hAnsi="FangSong" w:cs="FangSong" w:hint="eastAsia"/>
          <w:sz w:val="32"/>
          <w:szCs w:val="32"/>
        </w:rPr>
        <w:t>植物来源的新原料应说明植物的通用名称、拉丁名、种属名称、物种鉴定依据（专业人员或专业机构出具的鉴定报告）、使用部位、产地或收集地信息、野生或种植信息、制备过程、特征性组成成分、微生物情况（包括真菌感染）、农药和重金属残留以及防腐剂和</w:t>
      </w:r>
      <w:r>
        <w:rPr>
          <w:rFonts w:ascii="FangSong" w:eastAsia="FangSong" w:hAnsi="FangSong" w:cs="FangSong"/>
          <w:sz w:val="32"/>
          <w:szCs w:val="32"/>
        </w:rPr>
        <w:t>/或其他添加剂等。</w:t>
      </w:r>
      <w:r>
        <w:rPr>
          <w:rFonts w:ascii="FangSong" w:eastAsia="FangSong" w:hAnsi="FangSong" w:hint="eastAsia"/>
          <w:bCs/>
          <w:color w:val="000000" w:themeColor="text1"/>
          <w:kern w:val="0"/>
          <w:sz w:val="32"/>
          <w:szCs w:val="32"/>
        </w:rPr>
        <w:t>真菌来源的新原料应参照植物来源新原料开展研究。</w:t>
      </w:r>
    </w:p>
    <w:p w14:paraId="66D89D41" w14:textId="77777777" w:rsidR="000639E2" w:rsidRDefault="00000000">
      <w:pPr>
        <w:numPr>
          <w:ilvl w:val="255"/>
          <w:numId w:val="0"/>
        </w:numPr>
        <w:spacing w:line="360" w:lineRule="auto"/>
        <w:ind w:firstLine="640"/>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直接来源于植物（包括藻）且没有经过化学修饰或生物技术修饰的复杂天然物质，如植物的提取物粉末、油脂、提</w:t>
      </w:r>
      <w:r>
        <w:rPr>
          <w:rFonts w:ascii="FangSong" w:eastAsia="FangSong" w:hAnsi="FangSong" w:hint="eastAsia"/>
          <w:bCs/>
          <w:color w:val="000000" w:themeColor="text1"/>
          <w:kern w:val="0"/>
          <w:sz w:val="32"/>
          <w:szCs w:val="32"/>
        </w:rPr>
        <w:lastRenderedPageBreak/>
        <w:t>取液、植物油等，其来源属性可归类为直接来源于植物。经过水解、发酵、组织培养等处理间接来源于植物的新原料，其来源属性可归类为间接来源于植物。</w:t>
      </w:r>
    </w:p>
    <w:p w14:paraId="1F15AA45" w14:textId="77777777" w:rsidR="000639E2" w:rsidRDefault="00000000">
      <w:pPr>
        <w:spacing w:line="360" w:lineRule="auto"/>
        <w:ind w:firstLineChars="200" w:firstLine="643"/>
        <w:rPr>
          <w:rFonts w:ascii="FangSong" w:eastAsia="FangSong" w:hAnsi="FangSong"/>
          <w:b/>
          <w:bCs/>
          <w:color w:val="000000" w:themeColor="text1"/>
          <w:kern w:val="0"/>
          <w:sz w:val="32"/>
          <w:szCs w:val="32"/>
        </w:rPr>
      </w:pPr>
      <w:r>
        <w:rPr>
          <w:rFonts w:ascii="FangSong" w:eastAsia="FangSong" w:hAnsi="FangSong"/>
          <w:b/>
          <w:bCs/>
          <w:color w:val="000000" w:themeColor="text1"/>
          <w:kern w:val="0"/>
          <w:sz w:val="32"/>
          <w:szCs w:val="32"/>
        </w:rPr>
        <w:t>2.动物</w:t>
      </w:r>
    </w:p>
    <w:p w14:paraId="1D31E2E0" w14:textId="77777777" w:rsidR="000639E2" w:rsidRDefault="00000000">
      <w:pPr>
        <w:spacing w:line="360" w:lineRule="auto"/>
        <w:ind w:firstLineChars="200" w:firstLine="640"/>
        <w:rPr>
          <w:rFonts w:ascii="FangSong" w:eastAsia="FangSong" w:hAnsi="FangSong" w:cstheme="majorBidi"/>
          <w:bCs/>
          <w:color w:val="000000" w:themeColor="text1"/>
          <w:kern w:val="0"/>
          <w:sz w:val="32"/>
          <w:szCs w:val="32"/>
        </w:rPr>
      </w:pPr>
      <w:r>
        <w:rPr>
          <w:rFonts w:ascii="FangSong" w:eastAsia="FangSong" w:hAnsi="FangSong" w:cs="FangSong" w:hint="eastAsia"/>
          <w:bCs/>
          <w:sz w:val="32"/>
          <w:szCs w:val="32"/>
        </w:rPr>
        <w:t>动物来源的新原料应说明物种来源、物种通用名称、物种鉴定依据（专业人员或专业机构出具的鉴定报告）、使用的器官或组织、原产国（地区）、制备过程、特征性组成成分、微生物情况（包括病毒性污染）、防腐剂和</w:t>
      </w:r>
      <w:r>
        <w:rPr>
          <w:rFonts w:ascii="FangSong" w:eastAsia="FangSong" w:hAnsi="FangSong" w:cs="FangSong"/>
          <w:bCs/>
          <w:sz w:val="32"/>
          <w:szCs w:val="32"/>
        </w:rPr>
        <w:t>/或其他添加剂等。</w:t>
      </w:r>
    </w:p>
    <w:p w14:paraId="1DD95BA2" w14:textId="77777777" w:rsidR="000639E2" w:rsidRDefault="00000000">
      <w:pPr>
        <w:numPr>
          <w:ilvl w:val="255"/>
          <w:numId w:val="0"/>
        </w:numPr>
        <w:spacing w:line="360" w:lineRule="auto"/>
        <w:ind w:firstLineChars="200" w:firstLine="640"/>
        <w:rPr>
          <w:rFonts w:ascii="FangSong" w:eastAsia="FangSong" w:hAnsi="FangSong" w:cs="FangSong"/>
          <w:bCs/>
          <w:sz w:val="32"/>
          <w:szCs w:val="32"/>
        </w:rPr>
      </w:pPr>
      <w:r>
        <w:rPr>
          <w:rFonts w:ascii="FangSong" w:eastAsia="FangSong" w:hAnsi="FangSong" w:hint="eastAsia"/>
          <w:bCs/>
          <w:color w:val="000000" w:themeColor="text1"/>
          <w:kern w:val="0"/>
          <w:sz w:val="32"/>
          <w:szCs w:val="32"/>
        </w:rPr>
        <w:t>直接来源于动物且没有经过化学修饰或生物技术修饰的新原料，其来源属性可归类为直接来源于动物。经过动物细胞培养、水解、酶解等处理间接来源于动物的新原料，其来源属性可归类为间接来源于动物。</w:t>
      </w:r>
    </w:p>
    <w:p w14:paraId="369D086E" w14:textId="77777777" w:rsidR="000639E2" w:rsidRDefault="00000000">
      <w:pPr>
        <w:spacing w:line="360" w:lineRule="auto"/>
        <w:ind w:firstLineChars="200" w:firstLine="643"/>
        <w:rPr>
          <w:rFonts w:ascii="FangSong" w:eastAsia="FangSong" w:hAnsi="FangSong"/>
          <w:bCs/>
          <w:color w:val="000000" w:themeColor="text1"/>
          <w:kern w:val="0"/>
          <w:sz w:val="32"/>
          <w:szCs w:val="32"/>
        </w:rPr>
      </w:pPr>
      <w:r>
        <w:rPr>
          <w:rFonts w:ascii="FangSong" w:eastAsia="FangSong" w:hAnsi="FangSong"/>
          <w:b/>
          <w:color w:val="000000" w:themeColor="text1"/>
          <w:kern w:val="0"/>
          <w:sz w:val="32"/>
          <w:szCs w:val="32"/>
        </w:rPr>
        <w:t>3.矿物</w:t>
      </w:r>
    </w:p>
    <w:p w14:paraId="41592EBD" w14:textId="77777777" w:rsidR="000639E2" w:rsidRDefault="00000000">
      <w:pPr>
        <w:spacing w:line="360" w:lineRule="auto"/>
        <w:ind w:firstLineChars="200" w:firstLine="640"/>
        <w:rPr>
          <w:rFonts w:ascii="FangSong" w:hAnsi="FangSong"/>
          <w:color w:val="000000" w:themeColor="text1"/>
          <w:kern w:val="0"/>
        </w:rPr>
      </w:pPr>
      <w:r>
        <w:rPr>
          <w:rFonts w:ascii="FangSong" w:eastAsia="FangSong" w:hAnsi="FangSong" w:hint="eastAsia"/>
          <w:bCs/>
          <w:color w:val="000000" w:themeColor="text1"/>
          <w:kern w:val="0"/>
          <w:sz w:val="32"/>
          <w:szCs w:val="32"/>
        </w:rPr>
        <w:t>在地壳中发现的无机成分的组合，或经过处理化学结构保持不变的该来源的物质，其来源属性可归类为矿物。</w:t>
      </w:r>
      <w:r>
        <w:rPr>
          <w:rFonts w:ascii="FangSong" w:eastAsia="FangSong" w:hAnsi="FangSong"/>
          <w:bCs/>
          <w:color w:val="000000" w:themeColor="text1"/>
          <w:kern w:val="0"/>
          <w:sz w:val="32"/>
          <w:szCs w:val="32"/>
        </w:rPr>
        <w:t xml:space="preserve"> </w:t>
      </w:r>
    </w:p>
    <w:p w14:paraId="1562ED24" w14:textId="77777777" w:rsidR="000639E2" w:rsidRDefault="00000000">
      <w:pPr>
        <w:spacing w:line="360" w:lineRule="auto"/>
        <w:ind w:firstLineChars="200" w:firstLine="640"/>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矿物来源的新原料应</w:t>
      </w:r>
      <w:r>
        <w:rPr>
          <w:rFonts w:ascii="FangSong" w:eastAsia="FangSong" w:hAnsi="FangSong"/>
          <w:bCs/>
          <w:color w:val="000000" w:themeColor="text1"/>
          <w:kern w:val="0"/>
          <w:sz w:val="32"/>
          <w:szCs w:val="32"/>
        </w:rPr>
        <w:t>提供</w:t>
      </w:r>
      <w:r>
        <w:rPr>
          <w:rFonts w:ascii="FangSong" w:eastAsia="FangSong" w:hAnsi="FangSong" w:hint="eastAsia"/>
          <w:bCs/>
          <w:color w:val="000000" w:themeColor="text1"/>
          <w:kern w:val="0"/>
          <w:sz w:val="32"/>
          <w:szCs w:val="32"/>
        </w:rPr>
        <w:t>矿物名称、制备工艺（包括物理加工、化学修饰、纯化方法及净化方法等）、特征性组成成分、微生物情况、防腐剂和</w:t>
      </w:r>
      <w:r>
        <w:rPr>
          <w:rFonts w:ascii="FangSong" w:eastAsia="FangSong" w:hAnsi="FangSong"/>
          <w:bCs/>
          <w:color w:val="000000" w:themeColor="text1"/>
          <w:kern w:val="0"/>
          <w:sz w:val="32"/>
          <w:szCs w:val="32"/>
        </w:rPr>
        <w:t>/或其他添加剂等。</w:t>
      </w:r>
    </w:p>
    <w:p w14:paraId="0F3047D0" w14:textId="77777777" w:rsidR="000639E2" w:rsidRDefault="00000000">
      <w:pPr>
        <w:spacing w:line="360" w:lineRule="auto"/>
        <w:ind w:firstLineChars="200" w:firstLine="643"/>
        <w:rPr>
          <w:rFonts w:ascii="FangSong" w:eastAsia="FangSong" w:hAnsi="FangSong"/>
          <w:bCs/>
          <w:color w:val="000000" w:themeColor="text1"/>
          <w:kern w:val="0"/>
          <w:sz w:val="32"/>
          <w:szCs w:val="32"/>
        </w:rPr>
      </w:pPr>
      <w:r>
        <w:rPr>
          <w:rFonts w:ascii="FangSong" w:eastAsia="FangSong" w:hAnsi="FangSong"/>
          <w:b/>
          <w:color w:val="000000" w:themeColor="text1"/>
          <w:kern w:val="0"/>
          <w:sz w:val="32"/>
          <w:szCs w:val="32"/>
        </w:rPr>
        <w:t>4.人工合成</w:t>
      </w:r>
      <w:r>
        <w:rPr>
          <w:rFonts w:ascii="FangSong" w:eastAsia="FangSong" w:hAnsi="FangSong" w:hint="eastAsia"/>
          <w:bCs/>
          <w:color w:val="000000" w:themeColor="text1"/>
          <w:kern w:val="0"/>
          <w:sz w:val="32"/>
          <w:szCs w:val="32"/>
        </w:rPr>
        <w:t>：通过化学反应或生物技术等人工合成的新原料，其来源属性可归类为人工合成。</w:t>
      </w:r>
    </w:p>
    <w:p w14:paraId="4A3F9FD9" w14:textId="77777777" w:rsidR="000639E2" w:rsidRDefault="00000000">
      <w:pPr>
        <w:tabs>
          <w:tab w:val="left" w:pos="567"/>
        </w:tabs>
        <w:adjustRightInd w:val="0"/>
        <w:spacing w:line="360" w:lineRule="auto"/>
        <w:ind w:firstLineChars="200" w:firstLine="643"/>
        <w:outlineLvl w:val="1"/>
        <w:rPr>
          <w:rFonts w:ascii="FangSong" w:eastAsia="FangSong" w:hAnsi="FangSong" w:cs="FangSong"/>
          <w:b/>
          <w:bCs/>
          <w:sz w:val="32"/>
          <w:szCs w:val="32"/>
        </w:rPr>
      </w:pPr>
      <w:bookmarkStart w:id="7" w:name="_Toc124498239"/>
      <w:r>
        <w:rPr>
          <w:rFonts w:ascii="FangSong" w:eastAsia="FangSong" w:hAnsi="FangSong" w:cs="FangSong" w:hint="eastAsia"/>
          <w:b/>
          <w:bCs/>
          <w:sz w:val="32"/>
          <w:szCs w:val="32"/>
        </w:rPr>
        <w:t>（三）新原料制备工艺分类</w:t>
      </w:r>
      <w:bookmarkEnd w:id="7"/>
    </w:p>
    <w:p w14:paraId="05E424E6" w14:textId="77777777" w:rsidR="000639E2" w:rsidRDefault="00000000">
      <w:pPr>
        <w:pStyle w:val="aa"/>
        <w:spacing w:line="360" w:lineRule="auto"/>
        <w:ind w:left="578" w:firstLineChars="0" w:firstLine="0"/>
        <w:rPr>
          <w:rFonts w:asciiTheme="majorHAnsi" w:eastAsia="FangSong" w:hAnsiTheme="majorHAnsi" w:cstheme="majorBidi"/>
          <w:sz w:val="32"/>
          <w:szCs w:val="32"/>
        </w:rPr>
      </w:pPr>
      <w:r>
        <w:rPr>
          <w:rFonts w:asciiTheme="majorHAnsi" w:eastAsia="FangSong" w:hAnsiTheme="majorHAnsi" w:cstheme="majorBidi" w:hint="eastAsia"/>
          <w:sz w:val="32"/>
          <w:szCs w:val="32"/>
        </w:rPr>
        <w:lastRenderedPageBreak/>
        <w:t>新原料的制备工艺可分为以下几类：</w:t>
      </w:r>
    </w:p>
    <w:p w14:paraId="1C682F99" w14:textId="77777777" w:rsidR="000639E2" w:rsidRDefault="00000000">
      <w:pPr>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bCs/>
          <w:color w:val="000000" w:themeColor="text1"/>
          <w:kern w:val="0"/>
          <w:sz w:val="32"/>
          <w:szCs w:val="32"/>
        </w:rPr>
        <w:t>1.化学合成技术</w:t>
      </w:r>
      <w:r>
        <w:rPr>
          <w:rFonts w:ascii="FangSong" w:eastAsia="FangSong" w:hAnsi="FangSong" w:hint="eastAsia"/>
          <w:color w:val="000000" w:themeColor="text1"/>
          <w:kern w:val="0"/>
          <w:sz w:val="32"/>
          <w:szCs w:val="32"/>
        </w:rPr>
        <w:t>：通过化学反应合成的化学物质，如脂肪酸、脂肪醇、酯类、胺类、酰胺类、无机粉体、高分子聚合物等，其制备工艺可归类为化学合成技术。</w:t>
      </w:r>
    </w:p>
    <w:p w14:paraId="63F6C238" w14:textId="77777777" w:rsidR="000639E2" w:rsidRDefault="00000000">
      <w:pPr>
        <w:spacing w:line="360" w:lineRule="auto"/>
        <w:ind w:firstLineChars="200" w:firstLine="640"/>
        <w:rPr>
          <w:rFonts w:ascii="FangSong" w:eastAsia="FangSong" w:hAnsi="FangSong"/>
          <w:bCs/>
          <w:color w:val="000000" w:themeColor="text1"/>
          <w:kern w:val="0"/>
          <w:sz w:val="32"/>
          <w:szCs w:val="32"/>
        </w:rPr>
      </w:pPr>
      <w:r>
        <w:rPr>
          <w:rFonts w:ascii="FangSong" w:eastAsia="FangSong" w:hAnsi="FangSong" w:hint="eastAsia"/>
          <w:bCs/>
          <w:color w:val="000000" w:themeColor="text1"/>
          <w:kern w:val="0"/>
          <w:sz w:val="32"/>
          <w:szCs w:val="32"/>
        </w:rPr>
        <w:t>化学合成新原料应说明分子式、化学结构式、相对分子质量；并应提供化学结构的确认依据（如结构鉴定图谱及解析过程）。若新原料存在同分异构体的，应明确其构型的类别和确认依据，聚合物还应提供聚合度和平均相对分子质量</w:t>
      </w:r>
      <w:r>
        <w:rPr>
          <w:rFonts w:eastAsia="FangSong_GB2312" w:hint="eastAsia"/>
          <w:sz w:val="32"/>
          <w:szCs w:val="32"/>
        </w:rPr>
        <w:t>及其分布的检测方法和结果。</w:t>
      </w:r>
    </w:p>
    <w:p w14:paraId="0C85BCAF" w14:textId="77777777" w:rsidR="000639E2" w:rsidRDefault="00000000">
      <w:pPr>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bCs/>
          <w:color w:val="000000" w:themeColor="text1"/>
          <w:kern w:val="0"/>
          <w:sz w:val="32"/>
          <w:szCs w:val="32"/>
        </w:rPr>
        <w:t>2.提取分离技术</w:t>
      </w:r>
      <w:r>
        <w:rPr>
          <w:rFonts w:ascii="FangSong" w:eastAsia="FangSong" w:hAnsi="FangSong" w:hint="eastAsia"/>
          <w:color w:val="000000" w:themeColor="text1"/>
          <w:kern w:val="0"/>
          <w:sz w:val="32"/>
          <w:szCs w:val="32"/>
        </w:rPr>
        <w:t>：从植物、动物、矿物中如通过物理或化学提取和/或分离过程（包括机械粉碎、物理压榨、溶剂提取、水蒸气蒸馏、超临界萃取等），如定向获取和浓集植物、动物、矿物中的化学成分，如不改变其原有结构而获得的新原料，其制备工艺可归类为提取分离技术。</w:t>
      </w:r>
    </w:p>
    <w:p w14:paraId="01A42CFE" w14:textId="77777777" w:rsidR="000639E2" w:rsidRDefault="00000000">
      <w:pPr>
        <w:spacing w:line="360" w:lineRule="auto"/>
        <w:ind w:firstLineChars="200" w:firstLine="640"/>
        <w:rPr>
          <w:rFonts w:ascii="FangSong" w:eastAsia="FangSong" w:hAnsi="FangSong"/>
          <w:color w:val="000000" w:themeColor="text1"/>
          <w:kern w:val="0"/>
          <w:sz w:val="32"/>
          <w:szCs w:val="32"/>
        </w:rPr>
      </w:pPr>
      <w:r>
        <w:rPr>
          <w:rFonts w:ascii="FangSong" w:eastAsia="FangSong" w:hAnsi="FangSong" w:hint="eastAsia"/>
          <w:color w:val="000000" w:themeColor="text1"/>
          <w:kern w:val="0"/>
          <w:sz w:val="32"/>
          <w:szCs w:val="32"/>
        </w:rPr>
        <w:t>提取分离技术制备的新原料应说明前处理、提取方法、提取溶剂、除杂或分离/纯化方法、干燥过程或配制方法等。</w:t>
      </w:r>
    </w:p>
    <w:p w14:paraId="125EAE38" w14:textId="77777777" w:rsidR="000639E2" w:rsidRDefault="00000000">
      <w:pPr>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bCs/>
          <w:color w:val="000000" w:themeColor="text1"/>
          <w:kern w:val="0"/>
          <w:sz w:val="32"/>
          <w:szCs w:val="32"/>
        </w:rPr>
        <w:t>3.生物技术</w:t>
      </w:r>
      <w:r>
        <w:rPr>
          <w:rFonts w:ascii="FangSong" w:eastAsia="FangSong" w:hAnsi="FangSong" w:hint="eastAsia"/>
          <w:color w:val="000000" w:themeColor="text1"/>
          <w:kern w:val="0"/>
          <w:sz w:val="32"/>
          <w:szCs w:val="32"/>
        </w:rPr>
        <w:t>：</w:t>
      </w:r>
      <w:r>
        <w:rPr>
          <w:rFonts w:ascii="Times New Roman" w:eastAsia="FangSong" w:hAnsi="Times New Roman" w:hint="eastAsia"/>
          <w:sz w:val="32"/>
          <w:szCs w:val="32"/>
        </w:rPr>
        <w:t>通过发酵工程、细胞工程、基因工程、酶工程和蛋白质工程中的任一种技术获得的新原料，</w:t>
      </w:r>
      <w:r>
        <w:rPr>
          <w:rFonts w:ascii="FangSong" w:eastAsia="FangSong" w:hAnsi="FangSong" w:hint="eastAsia"/>
          <w:color w:val="000000" w:themeColor="text1"/>
          <w:kern w:val="0"/>
          <w:sz w:val="32"/>
          <w:szCs w:val="32"/>
        </w:rPr>
        <w:t>其制备工艺可归类为生物技术。</w:t>
      </w:r>
    </w:p>
    <w:p w14:paraId="554E58AF" w14:textId="77777777" w:rsidR="000639E2" w:rsidRDefault="00000000">
      <w:pPr>
        <w:spacing w:line="360" w:lineRule="auto"/>
        <w:ind w:firstLine="578"/>
        <w:rPr>
          <w:rFonts w:ascii="FangSong" w:eastAsia="FangSong" w:hAnsi="FangSong"/>
          <w:sz w:val="32"/>
          <w:szCs w:val="32"/>
          <w:highlight w:val="yellow"/>
        </w:rPr>
      </w:pPr>
      <w:r>
        <w:rPr>
          <w:rFonts w:ascii="FangSong" w:eastAsia="FangSong" w:hAnsi="FangSong" w:hint="eastAsia"/>
          <w:sz w:val="32"/>
          <w:szCs w:val="32"/>
        </w:rPr>
        <w:t>（</w:t>
      </w:r>
      <w:r>
        <w:rPr>
          <w:rFonts w:ascii="FangSong" w:eastAsia="FangSong" w:hAnsi="FangSong"/>
          <w:sz w:val="32"/>
          <w:szCs w:val="32"/>
        </w:rPr>
        <w:t>1）发酵工程</w:t>
      </w:r>
      <w:r>
        <w:rPr>
          <w:rFonts w:ascii="FangSong" w:eastAsia="FangSong" w:hAnsi="FangSong" w:hint="eastAsia"/>
          <w:sz w:val="32"/>
          <w:szCs w:val="32"/>
        </w:rPr>
        <w:t>技术</w:t>
      </w:r>
      <w:r>
        <w:rPr>
          <w:rFonts w:ascii="FangSong" w:eastAsia="FangSong" w:hAnsi="FangSong"/>
          <w:sz w:val="32"/>
          <w:szCs w:val="32"/>
        </w:rPr>
        <w:t>制备的新原料</w:t>
      </w:r>
    </w:p>
    <w:p w14:paraId="39AD1BB6" w14:textId="77777777" w:rsidR="000639E2" w:rsidRDefault="00000000">
      <w:pPr>
        <w:spacing w:line="360" w:lineRule="auto"/>
        <w:ind w:firstLine="578"/>
        <w:rPr>
          <w:rFonts w:ascii="FangSong" w:eastAsia="FangSong" w:hAnsi="FangSong"/>
          <w:sz w:val="32"/>
          <w:szCs w:val="32"/>
        </w:rPr>
      </w:pPr>
      <w:r>
        <w:rPr>
          <w:rFonts w:ascii="FangSong" w:eastAsia="FangSong" w:hAnsi="FangSong" w:hint="eastAsia"/>
          <w:sz w:val="32"/>
          <w:szCs w:val="32"/>
        </w:rPr>
        <w:t>利用</w:t>
      </w:r>
      <w:r>
        <w:rPr>
          <w:rFonts w:ascii="Times New Roman" w:eastAsia="FangSong" w:hAnsi="Times New Roman" w:hint="eastAsia"/>
          <w:sz w:val="32"/>
          <w:szCs w:val="32"/>
        </w:rPr>
        <w:t>发酵工程技术制备的新原料应说明发酵生产菌种属名、种名及菌种号，并提供相应拉丁学名；提供菌种（株）</w:t>
      </w:r>
      <w:r>
        <w:rPr>
          <w:rFonts w:ascii="Times New Roman" w:eastAsia="FangSong" w:hAnsi="Times New Roman" w:hint="eastAsia"/>
          <w:sz w:val="32"/>
          <w:szCs w:val="32"/>
        </w:rPr>
        <w:lastRenderedPageBreak/>
        <w:t>来源，鉴定报告（包括表型特征和基于基因分型的菌株水平的鉴定结果）和菌种（株）的生物学、遗传学、功效学特性，并</w:t>
      </w:r>
      <w:r>
        <w:rPr>
          <w:rFonts w:ascii="Times New Roman" w:eastAsia="FangSong" w:hAnsi="Times New Roman"/>
          <w:sz w:val="32"/>
          <w:szCs w:val="32"/>
        </w:rPr>
        <w:t>开展原料稳定性研究</w:t>
      </w:r>
      <w:r>
        <w:rPr>
          <w:rFonts w:ascii="Times New Roman" w:eastAsia="FangSong" w:hAnsi="Times New Roman" w:hint="eastAsia"/>
          <w:sz w:val="32"/>
          <w:szCs w:val="32"/>
        </w:rPr>
        <w:t>。</w:t>
      </w:r>
    </w:p>
    <w:p w14:paraId="410CE717" w14:textId="77777777" w:rsidR="000639E2" w:rsidRDefault="00000000">
      <w:pPr>
        <w:spacing w:line="360" w:lineRule="auto"/>
        <w:ind w:firstLine="578"/>
        <w:rPr>
          <w:rFonts w:ascii="Times New Roman" w:eastAsia="FangSong" w:hAnsi="Times New Roman"/>
          <w:sz w:val="32"/>
          <w:szCs w:val="32"/>
        </w:rPr>
      </w:pPr>
      <w:r>
        <w:rPr>
          <w:rFonts w:ascii="Times New Roman" w:eastAsia="FangSong" w:hAnsi="Times New Roman" w:hint="eastAsia"/>
          <w:sz w:val="32"/>
          <w:szCs w:val="32"/>
        </w:rPr>
        <w:t>如使用菌种（株）为利用基因工程所获得的“工程菌”，则需要提供载体构建、工程菌（株）等详细信息；如使用菌种（株）为细胞融合等技术进行的发酵，则应提供使用菌株的筛选和稳定性验证、原生质体的制备、融合等详细信息。</w:t>
      </w:r>
    </w:p>
    <w:p w14:paraId="270A2C42" w14:textId="77777777" w:rsidR="000639E2" w:rsidRDefault="00000000">
      <w:pPr>
        <w:spacing w:line="360" w:lineRule="auto"/>
        <w:ind w:firstLine="578"/>
        <w:rPr>
          <w:rFonts w:ascii="Times New Roman" w:eastAsia="FangSong" w:hAnsi="Times New Roman"/>
          <w:sz w:val="32"/>
          <w:szCs w:val="32"/>
        </w:rPr>
      </w:pPr>
      <w:r>
        <w:rPr>
          <w:rFonts w:ascii="Times New Roman" w:eastAsia="FangSong" w:hAnsi="Times New Roman" w:hint="eastAsia"/>
          <w:sz w:val="32"/>
          <w:szCs w:val="32"/>
        </w:rPr>
        <w:t>发酵工程技术制备的新原料的底物应为单一来源，生产菌种原则上为单一菌种，如使用两种菌种以上的，应提供每种菌种的上述资料、多菌种使用的必要性和不同菌种间是否发生影响作用、发酵产物中的质控指标和产生风险物质的验证资料。</w:t>
      </w:r>
    </w:p>
    <w:p w14:paraId="4C509DB8" w14:textId="77777777" w:rsidR="000639E2" w:rsidRDefault="00000000">
      <w:pPr>
        <w:spacing w:line="360" w:lineRule="auto"/>
        <w:ind w:firstLine="578"/>
        <w:rPr>
          <w:rFonts w:ascii="FangSong" w:eastAsia="FangSong" w:hAnsi="FangSong"/>
          <w:sz w:val="32"/>
          <w:szCs w:val="32"/>
        </w:rPr>
      </w:pPr>
      <w:r>
        <w:rPr>
          <w:rFonts w:ascii="FangSong" w:eastAsia="FangSong" w:hAnsi="FangSong" w:hint="eastAsia"/>
          <w:sz w:val="32"/>
          <w:szCs w:val="32"/>
        </w:rPr>
        <w:t>（</w:t>
      </w:r>
      <w:r>
        <w:rPr>
          <w:rFonts w:ascii="FangSong" w:eastAsia="FangSong" w:hAnsi="FangSong"/>
          <w:sz w:val="32"/>
          <w:szCs w:val="32"/>
        </w:rPr>
        <w:t>2）细胞工程</w:t>
      </w:r>
      <w:r>
        <w:rPr>
          <w:rFonts w:ascii="FangSong" w:eastAsia="FangSong" w:hAnsi="FangSong" w:hint="eastAsia"/>
          <w:sz w:val="32"/>
          <w:szCs w:val="32"/>
        </w:rPr>
        <w:t>技术</w:t>
      </w:r>
      <w:r>
        <w:rPr>
          <w:rFonts w:ascii="FangSong" w:eastAsia="FangSong" w:hAnsi="FangSong"/>
          <w:sz w:val="32"/>
          <w:szCs w:val="32"/>
        </w:rPr>
        <w:t>制备新原料</w:t>
      </w:r>
    </w:p>
    <w:p w14:paraId="4BBF6918" w14:textId="77777777" w:rsidR="000639E2" w:rsidRDefault="00000000">
      <w:pPr>
        <w:spacing w:line="360" w:lineRule="auto"/>
        <w:ind w:firstLine="578"/>
        <w:rPr>
          <w:rFonts w:ascii="Times New Roman" w:eastAsia="FangSong" w:hAnsi="Times New Roman"/>
          <w:sz w:val="32"/>
          <w:szCs w:val="32"/>
        </w:rPr>
      </w:pPr>
      <w:r>
        <w:rPr>
          <w:rFonts w:ascii="FangSong" w:eastAsia="FangSong" w:hAnsi="FangSong" w:hint="eastAsia"/>
          <w:sz w:val="32"/>
          <w:szCs w:val="32"/>
        </w:rPr>
        <w:t>利用</w:t>
      </w:r>
      <w:r>
        <w:rPr>
          <w:rFonts w:ascii="Times New Roman" w:eastAsia="FangSong" w:hAnsi="Times New Roman" w:hint="eastAsia"/>
          <w:sz w:val="32"/>
          <w:szCs w:val="32"/>
        </w:rPr>
        <w:t>细胞工程技术制备的新原料</w:t>
      </w:r>
      <w:r>
        <w:rPr>
          <w:rFonts w:ascii="FangSong" w:eastAsia="FangSong" w:hAnsi="FangSong" w:hint="eastAsia"/>
          <w:sz w:val="32"/>
          <w:szCs w:val="32"/>
        </w:rPr>
        <w:t>应明确细胞系</w:t>
      </w:r>
      <w:r>
        <w:rPr>
          <w:rFonts w:ascii="FangSong" w:eastAsia="FangSong" w:hAnsi="FangSong"/>
          <w:sz w:val="32"/>
          <w:szCs w:val="32"/>
        </w:rPr>
        <w:t>/株来源的相关</w:t>
      </w:r>
      <w:r>
        <w:rPr>
          <w:rFonts w:ascii="FangSong" w:eastAsia="FangSong" w:hAnsi="FangSong" w:hint="eastAsia"/>
          <w:sz w:val="32"/>
          <w:szCs w:val="32"/>
        </w:rPr>
        <w:t>信息</w:t>
      </w:r>
      <w:r>
        <w:rPr>
          <w:rFonts w:ascii="FangSong" w:eastAsia="FangSong" w:hAnsi="FangSong"/>
          <w:sz w:val="32"/>
          <w:szCs w:val="32"/>
        </w:rPr>
        <w:t>，如</w:t>
      </w:r>
      <w:r>
        <w:rPr>
          <w:rFonts w:ascii="FangSong" w:eastAsia="FangSong" w:hAnsi="FangSong" w:hint="eastAsia"/>
          <w:sz w:val="32"/>
          <w:szCs w:val="32"/>
        </w:rPr>
        <w:t>细胞系</w:t>
      </w:r>
      <w:r>
        <w:rPr>
          <w:rFonts w:ascii="FangSong" w:eastAsia="FangSong" w:hAnsi="FangSong"/>
          <w:sz w:val="32"/>
          <w:szCs w:val="32"/>
        </w:rPr>
        <w:t>/株的名称、构建过程及培养条件等。</w:t>
      </w:r>
      <w:r>
        <w:rPr>
          <w:rFonts w:ascii="FangSong" w:eastAsia="FangSong" w:hAnsi="FangSong" w:hint="eastAsia"/>
          <w:sz w:val="32"/>
          <w:szCs w:val="32"/>
        </w:rPr>
        <w:t>采用已建株的细胞系</w:t>
      </w:r>
      <w:r>
        <w:rPr>
          <w:rFonts w:ascii="FangSong" w:eastAsia="FangSong" w:hAnsi="FangSong"/>
          <w:sz w:val="32"/>
          <w:szCs w:val="32"/>
        </w:rPr>
        <w:t>/株，应具有细胞来源的证明资料</w:t>
      </w:r>
      <w:r>
        <w:rPr>
          <w:rFonts w:ascii="FangSong" w:eastAsia="FangSong" w:hAnsi="FangSong" w:hint="eastAsia"/>
          <w:sz w:val="32"/>
          <w:szCs w:val="32"/>
        </w:rPr>
        <w:t>如鉴别标志、种属鉴定的确证资料，需阐述细胞的基本特征如形态、培养和生长一般特征、培养条件和培养液要求。若为转基因细胞系，应同时说明</w:t>
      </w:r>
      <w:r>
        <w:rPr>
          <w:rFonts w:ascii="Times New Roman" w:eastAsia="FangSong" w:hAnsi="Times New Roman" w:hint="eastAsia"/>
          <w:sz w:val="32"/>
          <w:szCs w:val="32"/>
        </w:rPr>
        <w:t>载体构建、工程菌（株）等详细信息。</w:t>
      </w:r>
    </w:p>
    <w:p w14:paraId="092FA1FA" w14:textId="77777777" w:rsidR="000639E2" w:rsidRDefault="00000000">
      <w:pPr>
        <w:tabs>
          <w:tab w:val="left" w:pos="1397"/>
        </w:tabs>
        <w:spacing w:line="360" w:lineRule="auto"/>
        <w:ind w:firstLineChars="200" w:firstLine="640"/>
        <w:rPr>
          <w:rFonts w:ascii="Times New Roman" w:eastAsia="FangSong" w:hAnsi="Times New Roman"/>
          <w:sz w:val="32"/>
          <w:szCs w:val="32"/>
        </w:rPr>
      </w:pPr>
      <w:r>
        <w:rPr>
          <w:rFonts w:ascii="Times New Roman" w:eastAsia="FangSong" w:hAnsi="Times New Roman" w:hint="eastAsia"/>
          <w:kern w:val="0"/>
          <w:sz w:val="32"/>
          <w:szCs w:val="32"/>
        </w:rPr>
        <w:t>应用生物技术制备的新原料应说明制备工艺过程中可能产生的风险物质如酶、化学试剂、溶剂、载体、抗体、残</w:t>
      </w:r>
      <w:r>
        <w:rPr>
          <w:rFonts w:ascii="Times New Roman" w:eastAsia="FangSong" w:hAnsi="Times New Roman" w:hint="eastAsia"/>
          <w:kern w:val="0"/>
          <w:sz w:val="32"/>
          <w:szCs w:val="32"/>
        </w:rPr>
        <w:lastRenderedPageBreak/>
        <w:t>留</w:t>
      </w:r>
      <w:r>
        <w:rPr>
          <w:rFonts w:ascii="Times New Roman" w:eastAsia="FangSong" w:hAnsi="Times New Roman"/>
          <w:kern w:val="0"/>
          <w:sz w:val="32"/>
          <w:szCs w:val="32"/>
        </w:rPr>
        <w:t>DNA</w:t>
      </w:r>
      <w:r>
        <w:rPr>
          <w:rFonts w:ascii="Times New Roman" w:eastAsia="FangSong" w:hAnsi="Times New Roman" w:hint="eastAsia"/>
          <w:kern w:val="0"/>
          <w:sz w:val="32"/>
          <w:szCs w:val="32"/>
        </w:rPr>
        <w:t>或</w:t>
      </w:r>
      <w:r>
        <w:rPr>
          <w:rFonts w:ascii="Times New Roman" w:eastAsia="FangSong" w:hAnsi="Times New Roman"/>
          <w:kern w:val="0"/>
          <w:sz w:val="32"/>
          <w:szCs w:val="32"/>
        </w:rPr>
        <w:t>RNA</w:t>
      </w:r>
      <w:r>
        <w:rPr>
          <w:rFonts w:ascii="Times New Roman" w:eastAsia="FangSong" w:hAnsi="Times New Roman" w:hint="eastAsia"/>
          <w:kern w:val="0"/>
          <w:sz w:val="32"/>
          <w:szCs w:val="32"/>
        </w:rPr>
        <w:t>片段等；应说明原料相关的风险物质如修饰形式（去酰胺化、异构体、糖基化等）、聚合体、多聚体等；应明确微生物污染控制情况及测定方法、宿主致病性、毒性成分包括生物代谢物、产生的毒素等的控制标准。</w:t>
      </w:r>
    </w:p>
    <w:p w14:paraId="0365A8A6" w14:textId="77777777" w:rsidR="000639E2" w:rsidRDefault="00000000">
      <w:pPr>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bCs/>
          <w:color w:val="000000" w:themeColor="text1"/>
          <w:kern w:val="0"/>
          <w:sz w:val="32"/>
          <w:szCs w:val="32"/>
        </w:rPr>
        <w:t>4.水解技术</w:t>
      </w:r>
      <w:r>
        <w:rPr>
          <w:rFonts w:ascii="FangSong" w:eastAsia="FangSong" w:hAnsi="FangSong" w:hint="eastAsia"/>
          <w:color w:val="000000" w:themeColor="text1"/>
          <w:kern w:val="0"/>
          <w:sz w:val="32"/>
          <w:szCs w:val="32"/>
        </w:rPr>
        <w:t>：通过酸、碱或酶水解获得的新原料，其制备工艺可归类为水解技术。</w:t>
      </w:r>
    </w:p>
    <w:p w14:paraId="6E039DF3" w14:textId="77777777" w:rsidR="000639E2" w:rsidRDefault="00000000">
      <w:pPr>
        <w:numPr>
          <w:ilvl w:val="255"/>
          <w:numId w:val="0"/>
        </w:numPr>
        <w:spacing w:line="360" w:lineRule="auto"/>
        <w:ind w:firstLineChars="200" w:firstLine="640"/>
        <w:rPr>
          <w:rFonts w:ascii="FangSong" w:eastAsia="FangSong" w:hAnsi="FangSong"/>
          <w:color w:val="000000" w:themeColor="text1"/>
          <w:kern w:val="0"/>
          <w:sz w:val="32"/>
          <w:szCs w:val="32"/>
        </w:rPr>
      </w:pPr>
      <w:r>
        <w:rPr>
          <w:rFonts w:ascii="FangSong" w:eastAsia="FangSong" w:hAnsi="FangSong" w:hint="eastAsia"/>
          <w:color w:val="000000" w:themeColor="text1"/>
          <w:kern w:val="0"/>
          <w:sz w:val="32"/>
          <w:szCs w:val="32"/>
        </w:rPr>
        <w:t>酶水解新原料</w:t>
      </w:r>
      <w:r>
        <w:rPr>
          <w:rFonts w:ascii="Times New Roman" w:eastAsia="FangSong" w:hAnsi="Times New Roman" w:hint="eastAsia"/>
          <w:sz w:val="32"/>
          <w:szCs w:val="32"/>
        </w:rPr>
        <w:t>应说明生产所用酶的结构、催化活性、催化机理、影响因素，反应底物、中间产物和终产物及可能产生的副产物和风险物质等。</w:t>
      </w:r>
    </w:p>
    <w:p w14:paraId="1BCF7595" w14:textId="77777777" w:rsidR="000639E2" w:rsidRDefault="00000000">
      <w:pPr>
        <w:spacing w:line="360" w:lineRule="auto"/>
        <w:ind w:firstLineChars="200" w:firstLine="643"/>
        <w:rPr>
          <w:rFonts w:ascii="FangSong" w:eastAsia="FangSong" w:hAnsi="FangSong"/>
          <w:color w:val="000000" w:themeColor="text1"/>
          <w:kern w:val="0"/>
          <w:sz w:val="32"/>
          <w:szCs w:val="32"/>
        </w:rPr>
      </w:pPr>
      <w:r>
        <w:rPr>
          <w:rFonts w:ascii="FangSong" w:eastAsia="FangSong" w:hAnsi="FangSong"/>
          <w:b/>
          <w:bCs/>
          <w:color w:val="000000" w:themeColor="text1"/>
          <w:kern w:val="0"/>
          <w:sz w:val="32"/>
          <w:szCs w:val="32"/>
        </w:rPr>
        <w:t>5.其他技术</w:t>
      </w:r>
      <w:r>
        <w:rPr>
          <w:rFonts w:ascii="FangSong" w:eastAsia="FangSong" w:hAnsi="FangSong" w:hint="eastAsia"/>
          <w:color w:val="000000" w:themeColor="text1"/>
          <w:kern w:val="0"/>
          <w:sz w:val="32"/>
          <w:szCs w:val="32"/>
        </w:rPr>
        <w:t>：通过除上述制备工艺之外的其他技术获得的新原料，其制备工艺归类为其他技术。</w:t>
      </w:r>
    </w:p>
    <w:p w14:paraId="00DE83D0" w14:textId="77777777" w:rsidR="000639E2" w:rsidRDefault="00000000">
      <w:pPr>
        <w:tabs>
          <w:tab w:val="left" w:pos="567"/>
        </w:tabs>
        <w:adjustRightInd w:val="0"/>
        <w:spacing w:line="360" w:lineRule="auto"/>
        <w:ind w:firstLineChars="200" w:firstLine="640"/>
        <w:rPr>
          <w:rFonts w:ascii="FangSong" w:eastAsia="FangSong" w:hAnsi="FangSong"/>
          <w:sz w:val="32"/>
          <w:szCs w:val="32"/>
        </w:rPr>
      </w:pPr>
      <w:r>
        <w:rPr>
          <w:rFonts w:ascii="FangSong" w:eastAsia="FangSong" w:hAnsi="FangSong"/>
          <w:color w:val="000000" w:themeColor="text1"/>
          <w:kern w:val="0"/>
          <w:sz w:val="32"/>
          <w:szCs w:val="32"/>
        </w:rPr>
        <w:t>原料</w:t>
      </w:r>
      <w:r>
        <w:rPr>
          <w:rFonts w:eastAsia="FangSong_GB2312"/>
          <w:sz w:val="32"/>
          <w:szCs w:val="32"/>
        </w:rPr>
        <w:t>制备过程中</w:t>
      </w:r>
      <w:r>
        <w:rPr>
          <w:rFonts w:ascii="FangSong" w:eastAsia="FangSong" w:hAnsi="FangSong"/>
          <w:color w:val="000000" w:themeColor="text1"/>
          <w:kern w:val="0"/>
          <w:sz w:val="32"/>
          <w:szCs w:val="32"/>
        </w:rPr>
        <w:t>由于技术原因不可避免存在或保证原料质量而添加溶剂、防腐剂、稳定剂等的新原料，应</w:t>
      </w:r>
      <w:r>
        <w:rPr>
          <w:rFonts w:ascii="FangSong" w:eastAsia="FangSong" w:hAnsi="FangSong" w:hint="eastAsia"/>
          <w:color w:val="000000" w:themeColor="text1"/>
          <w:kern w:val="0"/>
          <w:sz w:val="32"/>
          <w:szCs w:val="32"/>
        </w:rPr>
        <w:t>明确</w:t>
      </w:r>
      <w:r>
        <w:rPr>
          <w:rFonts w:ascii="FangSong" w:eastAsia="FangSong" w:hAnsi="FangSong"/>
          <w:color w:val="000000" w:themeColor="text1"/>
          <w:kern w:val="0"/>
          <w:sz w:val="32"/>
          <w:szCs w:val="32"/>
        </w:rPr>
        <w:t>原料组成及相关比例的</w:t>
      </w:r>
      <w:r>
        <w:rPr>
          <w:rFonts w:ascii="FangSong" w:eastAsia="FangSong" w:hAnsi="FangSong" w:hint="eastAsia"/>
          <w:sz w:val="32"/>
          <w:szCs w:val="32"/>
        </w:rPr>
        <w:t>测定方法和结果，并明确原料的质量规格。</w:t>
      </w:r>
    </w:p>
    <w:p w14:paraId="73737C41" w14:textId="77777777" w:rsidR="000639E2" w:rsidRDefault="00000000">
      <w:pPr>
        <w:tabs>
          <w:tab w:val="left" w:pos="567"/>
        </w:tabs>
        <w:adjustRightInd w:val="0"/>
        <w:spacing w:line="360" w:lineRule="auto"/>
        <w:ind w:firstLineChars="200" w:firstLine="643"/>
        <w:outlineLvl w:val="1"/>
        <w:rPr>
          <w:rFonts w:ascii="FangSong" w:eastAsia="FangSong" w:hAnsi="FangSong" w:cs="FangSong"/>
          <w:b/>
          <w:bCs/>
          <w:sz w:val="32"/>
          <w:szCs w:val="32"/>
        </w:rPr>
      </w:pPr>
      <w:bookmarkStart w:id="8" w:name="_Toc124498240"/>
      <w:r>
        <w:rPr>
          <w:rFonts w:ascii="FangSong" w:eastAsia="FangSong" w:hAnsi="FangSong" w:cs="FangSong" w:hint="eastAsia"/>
          <w:b/>
          <w:bCs/>
          <w:sz w:val="32"/>
          <w:szCs w:val="32"/>
        </w:rPr>
        <w:t>（四）新原料实际功能分类</w:t>
      </w:r>
      <w:bookmarkEnd w:id="8"/>
    </w:p>
    <w:p w14:paraId="3072C493" w14:textId="77777777" w:rsidR="000639E2" w:rsidRDefault="00000000">
      <w:pPr>
        <w:tabs>
          <w:tab w:val="left" w:pos="567"/>
        </w:tabs>
        <w:adjustRightInd w:val="0"/>
        <w:spacing w:line="360" w:lineRule="auto"/>
        <w:ind w:firstLineChars="200" w:firstLine="640"/>
        <w:rPr>
          <w:rFonts w:ascii="Times New Roman" w:eastAsia="FangSong" w:hAnsi="Times New Roman"/>
          <w:sz w:val="32"/>
          <w:szCs w:val="32"/>
        </w:rPr>
      </w:pPr>
      <w:r>
        <w:rPr>
          <w:rFonts w:ascii="Times New Roman" w:eastAsia="FangSong" w:hAnsi="Times New Roman" w:hint="eastAsia"/>
          <w:sz w:val="32"/>
          <w:szCs w:val="32"/>
        </w:rPr>
        <w:t>新原料注册人或备案人应对新原料功效开展充分研究，结合对主要成分相关的文献和研究基础，按照新原料功效研究有关要求对新原料已知或应有的功能进行充分研究，依据相关研究结果确定新原料的实际功能。</w:t>
      </w:r>
    </w:p>
    <w:p w14:paraId="3DEBFD44" w14:textId="77777777" w:rsidR="000639E2" w:rsidRDefault="00000000">
      <w:pPr>
        <w:tabs>
          <w:tab w:val="left" w:pos="567"/>
        </w:tabs>
        <w:adjustRightInd w:val="0"/>
        <w:spacing w:line="360" w:lineRule="auto"/>
        <w:ind w:firstLineChars="200" w:firstLine="640"/>
        <w:jc w:val="left"/>
        <w:rPr>
          <w:rFonts w:ascii="FangSong" w:eastAsia="FangSong" w:hAnsi="FangSong"/>
          <w:kern w:val="0"/>
          <w:sz w:val="32"/>
          <w:szCs w:val="32"/>
        </w:rPr>
      </w:pPr>
      <w:r>
        <w:rPr>
          <w:rFonts w:asciiTheme="majorHAnsi" w:eastAsia="FangSong" w:hAnsiTheme="majorHAnsi" w:cstheme="majorBidi" w:hint="eastAsia"/>
          <w:bCs/>
          <w:sz w:val="32"/>
          <w:szCs w:val="32"/>
        </w:rPr>
        <w:t>具有防晒、祛斑美白、防脱发、祛痘、抗皱（物理性抗皱除外）、去屑、除臭等功能的原料</w:t>
      </w:r>
      <w:r>
        <w:rPr>
          <w:rFonts w:eastAsia="FangSong_GB2312" w:hint="eastAsia"/>
          <w:sz w:val="32"/>
          <w:szCs w:val="32"/>
        </w:rPr>
        <w:t>一般具有较高生物活性，</w:t>
      </w:r>
      <w:r>
        <w:rPr>
          <w:rFonts w:eastAsia="FangSong_GB2312" w:hint="eastAsia"/>
          <w:sz w:val="32"/>
          <w:szCs w:val="32"/>
        </w:rPr>
        <w:lastRenderedPageBreak/>
        <w:t>存在较高风险</w:t>
      </w:r>
      <w:r>
        <w:rPr>
          <w:rFonts w:asciiTheme="majorHAnsi" w:eastAsia="FangSong" w:hAnsiTheme="majorHAnsi" w:cstheme="majorBidi" w:hint="eastAsia"/>
          <w:bCs/>
          <w:sz w:val="32"/>
          <w:szCs w:val="32"/>
        </w:rPr>
        <w:t>。</w:t>
      </w:r>
      <w:r>
        <w:rPr>
          <w:rFonts w:ascii="Times New Roman" w:eastAsia="FangSong" w:hAnsi="Times New Roman" w:hint="eastAsia"/>
          <w:sz w:val="32"/>
          <w:szCs w:val="32"/>
        </w:rPr>
        <w:t>化妆品新原料注册人、备案人应明确新原料实际具有的功能，并明确是否具有较高生物活性，</w:t>
      </w:r>
      <w:r>
        <w:rPr>
          <w:rStyle w:val="2Char"/>
          <w:rFonts w:hint="eastAsia"/>
        </w:rPr>
        <w:t>结合新原料的特征、使用目的，</w:t>
      </w:r>
      <w:r>
        <w:rPr>
          <w:rFonts w:ascii="FangSong" w:eastAsia="FangSong" w:hAnsi="FangSong" w:hint="eastAsia"/>
          <w:kern w:val="0"/>
          <w:sz w:val="32"/>
          <w:szCs w:val="32"/>
        </w:rPr>
        <w:t>判定新原料应属于《规定》中的具体情形，并按不同情形分类要求开展研究及安全评估。</w:t>
      </w:r>
      <w:r>
        <w:rPr>
          <w:rFonts w:ascii="Times New Roman" w:eastAsia="FangSong" w:hAnsi="Times New Roman" w:hint="eastAsia"/>
          <w:sz w:val="32"/>
          <w:szCs w:val="32"/>
        </w:rPr>
        <w:t>对同时具有多种功能的新原料，只要其中某一功能属于</w:t>
      </w:r>
      <w:r>
        <w:rPr>
          <w:rFonts w:eastAsia="FangSong_GB2312" w:hint="eastAsia"/>
          <w:sz w:val="32"/>
          <w:szCs w:val="32"/>
        </w:rPr>
        <w:t>防腐、防晒、着色、染发、祛斑美白、防脱发、祛痘、抗皱（物理性抗皱除外）、去屑、除臭功能之一的，</w:t>
      </w:r>
      <w:r>
        <w:rPr>
          <w:rFonts w:ascii="Times New Roman" w:eastAsia="FangSong" w:hAnsi="Times New Roman" w:hint="eastAsia"/>
          <w:sz w:val="32"/>
          <w:szCs w:val="32"/>
        </w:rPr>
        <w:t>应按照上述功能的要求开展安全评估。</w:t>
      </w:r>
    </w:p>
    <w:p w14:paraId="215FE695" w14:textId="77777777" w:rsidR="000639E2" w:rsidRDefault="00000000">
      <w:pPr>
        <w:numPr>
          <w:ilvl w:val="0"/>
          <w:numId w:val="1"/>
        </w:numPr>
        <w:spacing w:line="360" w:lineRule="auto"/>
        <w:ind w:firstLineChars="200" w:firstLine="640"/>
        <w:outlineLvl w:val="0"/>
        <w:rPr>
          <w:rFonts w:ascii="SimHei" w:eastAsia="SimHei" w:hAnsi="SimHei" w:cs="SimHei"/>
          <w:sz w:val="32"/>
          <w:szCs w:val="32"/>
        </w:rPr>
      </w:pPr>
      <w:bookmarkStart w:id="9" w:name="_Toc120433016"/>
      <w:bookmarkStart w:id="10" w:name="_Toc120432955"/>
      <w:bookmarkStart w:id="11" w:name="_Toc120433012"/>
      <w:bookmarkStart w:id="12" w:name="_Toc120432959"/>
      <w:bookmarkStart w:id="13" w:name="_Toc120433100"/>
      <w:bookmarkStart w:id="14" w:name="_Toc120433102"/>
      <w:bookmarkStart w:id="15" w:name="_Toc120433015"/>
      <w:bookmarkStart w:id="16" w:name="_Toc120433013"/>
      <w:bookmarkStart w:id="17" w:name="_Toc120432956"/>
      <w:bookmarkStart w:id="18" w:name="_Toc120433018"/>
      <w:bookmarkStart w:id="19" w:name="_Toc120432957"/>
      <w:bookmarkStart w:id="20" w:name="_Toc120433098"/>
      <w:bookmarkStart w:id="21" w:name="_Toc120433017"/>
      <w:bookmarkStart w:id="22" w:name="_Toc120432958"/>
      <w:bookmarkStart w:id="23" w:name="_Toc120432954"/>
      <w:bookmarkStart w:id="24" w:name="_Toc120433099"/>
      <w:bookmarkStart w:id="25" w:name="_Toc120433096"/>
      <w:bookmarkStart w:id="26" w:name="_Toc120433097"/>
      <w:bookmarkStart w:id="27" w:name="_Toc120432960"/>
      <w:bookmarkStart w:id="28" w:name="_Toc120433101"/>
      <w:bookmarkStart w:id="29" w:name="_Toc120433014"/>
      <w:bookmarkStart w:id="30" w:name="_Toc12449824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SimHei" w:eastAsia="SimHei" w:hAnsi="SimHei" w:cs="SimHei" w:hint="eastAsia"/>
          <w:sz w:val="32"/>
          <w:szCs w:val="32"/>
        </w:rPr>
        <w:t>化妆品新原料的命名原则</w:t>
      </w:r>
      <w:bookmarkEnd w:id="30"/>
    </w:p>
    <w:p w14:paraId="771DA38A" w14:textId="77777777" w:rsidR="000639E2" w:rsidRDefault="00000000">
      <w:pPr>
        <w:spacing w:line="360" w:lineRule="auto"/>
        <w:ind w:firstLineChars="200" w:firstLine="640"/>
        <w:rPr>
          <w:rFonts w:ascii="Times New Roman" w:eastAsia="FangSong" w:hAnsi="Times New Roman"/>
          <w:sz w:val="32"/>
          <w:szCs w:val="32"/>
        </w:rPr>
      </w:pPr>
      <w:r>
        <w:rPr>
          <w:rFonts w:ascii="Times New Roman" w:eastAsia="FangSong" w:hAnsi="Times New Roman" w:hint="eastAsia"/>
          <w:sz w:val="32"/>
          <w:szCs w:val="32"/>
        </w:rPr>
        <w:t>化妆品新原料名称一般包括原料标准中文名称、英文名称</w:t>
      </w:r>
      <w:r>
        <w:rPr>
          <w:rFonts w:ascii="Times New Roman" w:eastAsia="FangSong" w:hAnsi="Times New Roman"/>
          <w:sz w:val="32"/>
          <w:szCs w:val="32"/>
        </w:rPr>
        <w:t>/INCI</w:t>
      </w:r>
      <w:r>
        <w:rPr>
          <w:rFonts w:ascii="Times New Roman" w:eastAsia="FangSong" w:hAnsi="Times New Roman" w:hint="eastAsia"/>
          <w:sz w:val="32"/>
          <w:szCs w:val="32"/>
        </w:rPr>
        <w:t>名称及其</w:t>
      </w:r>
      <w:r>
        <w:rPr>
          <w:rFonts w:ascii="Times New Roman" w:eastAsia="FangSong" w:hAnsi="Times New Roman"/>
          <w:sz w:val="32"/>
          <w:szCs w:val="32"/>
        </w:rPr>
        <w:t>ID</w:t>
      </w:r>
      <w:r>
        <w:rPr>
          <w:rFonts w:ascii="Times New Roman" w:eastAsia="FangSong" w:hAnsi="Times New Roman" w:hint="eastAsia"/>
          <w:sz w:val="32"/>
          <w:szCs w:val="32"/>
        </w:rPr>
        <w:t>号。若新原料有较为常用或被化妆品行业广泛使用的别名、俗称、商品名、缩写等，应同时予以注明，并提供相关说明。新原料的名称应根据其结构组成、来源属性和制备工艺等准确命名，并与制备工艺终产物形式相符。若新原料存在同分异构体的，应在原料名称中明确其构型，比如α型或β型。</w:t>
      </w:r>
    </w:p>
    <w:p w14:paraId="4717D4ED" w14:textId="77777777" w:rsidR="000639E2" w:rsidRDefault="00000000">
      <w:pPr>
        <w:spacing w:line="360" w:lineRule="auto"/>
        <w:ind w:firstLine="578"/>
        <w:rPr>
          <w:rFonts w:ascii="Times New Roman" w:eastAsia="FangSong" w:hAnsi="Times New Roman"/>
          <w:sz w:val="32"/>
          <w:szCs w:val="32"/>
        </w:rPr>
      </w:pPr>
      <w:r>
        <w:rPr>
          <w:rFonts w:ascii="Times New Roman" w:eastAsia="FangSong" w:hAnsi="Times New Roman" w:hint="eastAsia"/>
          <w:sz w:val="32"/>
          <w:szCs w:val="32"/>
        </w:rPr>
        <w:t>新原料的</w:t>
      </w:r>
      <w:r>
        <w:rPr>
          <w:rFonts w:ascii="FangSong" w:eastAsia="FangSong" w:hAnsi="FangSong" w:hint="eastAsia"/>
          <w:sz w:val="32"/>
          <w:szCs w:val="32"/>
        </w:rPr>
        <w:t>标准中文名称应按照</w:t>
      </w:r>
      <w:r>
        <w:rPr>
          <w:rFonts w:ascii="Times New Roman" w:eastAsia="FangSong" w:hAnsi="Times New Roman" w:hint="eastAsia"/>
          <w:sz w:val="32"/>
          <w:szCs w:val="32"/>
        </w:rPr>
        <w:t>《国际化妆品原料标准中文名称目录》的原则进行命名，例如直接来源于植物的新原料应按照“中文名</w:t>
      </w:r>
      <w:r>
        <w:rPr>
          <w:rFonts w:ascii="Times New Roman" w:eastAsia="FangSong" w:hAnsi="Times New Roman" w:hint="eastAsia"/>
          <w:sz w:val="32"/>
          <w:szCs w:val="32"/>
        </w:rPr>
        <w:t>+</w:t>
      </w:r>
      <w:r>
        <w:rPr>
          <w:rFonts w:ascii="Times New Roman" w:eastAsia="FangSong" w:hAnsi="Times New Roman" w:hint="eastAsia"/>
          <w:sz w:val="32"/>
          <w:szCs w:val="32"/>
        </w:rPr>
        <w:t>拉丁学名</w:t>
      </w:r>
      <w:r>
        <w:rPr>
          <w:rFonts w:ascii="Times New Roman" w:eastAsia="FangSong" w:hAnsi="Times New Roman" w:hint="eastAsia"/>
          <w:sz w:val="32"/>
          <w:szCs w:val="32"/>
        </w:rPr>
        <w:t>+</w:t>
      </w:r>
      <w:r>
        <w:rPr>
          <w:rFonts w:ascii="Times New Roman" w:eastAsia="FangSong" w:hAnsi="Times New Roman" w:hint="eastAsia"/>
          <w:sz w:val="32"/>
          <w:szCs w:val="32"/>
        </w:rPr>
        <w:t>使用部</w:t>
      </w:r>
      <w:r>
        <w:rPr>
          <w:rFonts w:ascii="FangSong" w:eastAsia="FangSong" w:hAnsi="FangSong"/>
          <w:color w:val="000000"/>
          <w:sz w:val="32"/>
          <w:szCs w:val="32"/>
        </w:rPr>
        <w:t>位+使用形式”的</w:t>
      </w:r>
      <w:r>
        <w:rPr>
          <w:rFonts w:ascii="FangSong" w:eastAsia="FangSong" w:hAnsi="FangSong" w:hint="eastAsia"/>
          <w:color w:val="000000"/>
          <w:sz w:val="32"/>
          <w:szCs w:val="32"/>
        </w:rPr>
        <w:t>格式</w:t>
      </w:r>
      <w:r>
        <w:rPr>
          <w:rFonts w:ascii="FangSong" w:eastAsia="FangSong" w:hAnsi="FangSong" w:hint="eastAsia"/>
          <w:sz w:val="32"/>
          <w:szCs w:val="32"/>
        </w:rPr>
        <w:t>命名。</w:t>
      </w:r>
      <w:r>
        <w:rPr>
          <w:rFonts w:ascii="FangSong" w:eastAsia="FangSong" w:hAnsi="FangSong"/>
          <w:sz w:val="32"/>
          <w:szCs w:val="32"/>
        </w:rPr>
        <w:t>如果原料已经被《国际化妆品原料字典和手册》收录，应明确原料的INCI名称</w:t>
      </w:r>
      <w:r>
        <w:rPr>
          <w:rFonts w:ascii="FangSong" w:eastAsia="FangSong" w:hAnsi="FangSong" w:hint="eastAsia"/>
          <w:sz w:val="32"/>
          <w:szCs w:val="32"/>
        </w:rPr>
        <w:t>及其</w:t>
      </w:r>
      <w:r>
        <w:rPr>
          <w:rFonts w:ascii="FangSong" w:eastAsia="FangSong" w:hAnsi="FangSong"/>
          <w:sz w:val="32"/>
          <w:szCs w:val="32"/>
        </w:rPr>
        <w:t>ID号码。</w:t>
      </w:r>
    </w:p>
    <w:sectPr w:rsidR="000639E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7C37" w14:textId="77777777" w:rsidR="0050305A" w:rsidRDefault="0050305A">
      <w:r>
        <w:separator/>
      </w:r>
    </w:p>
  </w:endnote>
  <w:endnote w:type="continuationSeparator" w:id="0">
    <w:p w14:paraId="3A5855F8" w14:textId="77777777" w:rsidR="0050305A" w:rsidRDefault="0050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
    <w:altName w:val="仿宋"/>
    <w:panose1 w:val="0201060906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KaiTi">
    <w:altName w:val="楷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00A" w14:textId="77777777" w:rsidR="000639E2" w:rsidRDefault="00000000">
    <w:pPr>
      <w:pStyle w:val="a5"/>
    </w:pPr>
    <w:r>
      <w:rPr>
        <w:noProof/>
      </w:rPr>
      <mc:AlternateContent>
        <mc:Choice Requires="wps">
          <w:drawing>
            <wp:anchor distT="0" distB="0" distL="114300" distR="114300" simplePos="0" relativeHeight="251659264" behindDoc="0" locked="0" layoutInCell="1" allowOverlap="1" wp14:anchorId="26355680" wp14:editId="6744223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7C9192" w14:textId="77777777" w:rsidR="000639E2"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355680"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97C9192" w14:textId="77777777" w:rsidR="000639E2"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5C96" w14:textId="77777777" w:rsidR="000639E2" w:rsidRDefault="00000000">
    <w:pPr>
      <w:pStyle w:val="a5"/>
      <w:jc w:val="center"/>
    </w:pPr>
    <w:r>
      <w:rPr>
        <w:noProof/>
      </w:rPr>
      <mc:AlternateContent>
        <mc:Choice Requires="wps">
          <w:drawing>
            <wp:anchor distT="0" distB="0" distL="114300" distR="114300" simplePos="0" relativeHeight="251660288" behindDoc="0" locked="0" layoutInCell="1" allowOverlap="1" wp14:anchorId="3BE1C79D" wp14:editId="5FB3A2E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65395616"/>
                          </w:sdtPr>
                          <w:sdtContent>
                            <w:p w14:paraId="30D0FEA5" w14:textId="77777777" w:rsidR="000639E2" w:rsidRDefault="00000000">
                              <w:pPr>
                                <w:pStyle w:val="a5"/>
                                <w:jc w:val="center"/>
                              </w:pPr>
                              <w:r>
                                <w:fldChar w:fldCharType="begin"/>
                              </w:r>
                              <w:r>
                                <w:instrText>PAGE   \* MERGEFORMAT</w:instrText>
                              </w:r>
                              <w:r>
                                <w:fldChar w:fldCharType="separate"/>
                              </w:r>
                              <w:r>
                                <w:rPr>
                                  <w:lang w:val="zh-CN"/>
                                </w:rPr>
                                <w:t>10</w:t>
                              </w:r>
                              <w:r>
                                <w:fldChar w:fldCharType="end"/>
                              </w:r>
                            </w:p>
                          </w:sdtContent>
                        </w:sdt>
                        <w:p w14:paraId="5CC5CC4B" w14:textId="77777777" w:rsidR="000639E2" w:rsidRDefault="000639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E1C79D"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165395616"/>
                    </w:sdtPr>
                    <w:sdtContent>
                      <w:p w14:paraId="30D0FEA5" w14:textId="77777777" w:rsidR="000639E2" w:rsidRDefault="00000000">
                        <w:pPr>
                          <w:pStyle w:val="a5"/>
                          <w:jc w:val="center"/>
                        </w:pPr>
                        <w:r>
                          <w:fldChar w:fldCharType="begin"/>
                        </w:r>
                        <w:r>
                          <w:instrText>PAGE   \* MERGEFORMAT</w:instrText>
                        </w:r>
                        <w:r>
                          <w:fldChar w:fldCharType="separate"/>
                        </w:r>
                        <w:r>
                          <w:rPr>
                            <w:lang w:val="zh-CN"/>
                          </w:rPr>
                          <w:t>10</w:t>
                        </w:r>
                        <w:r>
                          <w:fldChar w:fldCharType="end"/>
                        </w:r>
                      </w:p>
                    </w:sdtContent>
                  </w:sdt>
                  <w:p w14:paraId="5CC5CC4B" w14:textId="77777777" w:rsidR="000639E2" w:rsidRDefault="000639E2"/>
                </w:txbxContent>
              </v:textbox>
              <w10:wrap anchorx="margin"/>
            </v:shape>
          </w:pict>
        </mc:Fallback>
      </mc:AlternateContent>
    </w:r>
  </w:p>
  <w:p w14:paraId="28309446" w14:textId="77777777" w:rsidR="000639E2" w:rsidRDefault="000639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3A15" w14:textId="77777777" w:rsidR="0050305A" w:rsidRDefault="0050305A">
      <w:r>
        <w:separator/>
      </w:r>
    </w:p>
  </w:footnote>
  <w:footnote w:type="continuationSeparator" w:id="0">
    <w:p w14:paraId="1419F2F8" w14:textId="77777777" w:rsidR="0050305A" w:rsidRDefault="00503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86117"/>
    <w:multiLevelType w:val="singleLevel"/>
    <w:tmpl w:val="EB786117"/>
    <w:lvl w:ilvl="0">
      <w:start w:val="6"/>
      <w:numFmt w:val="chineseCounting"/>
      <w:suff w:val="nothing"/>
      <w:lvlText w:val="%1、"/>
      <w:lvlJc w:val="left"/>
      <w:rPr>
        <w:rFonts w:hint="eastAsia"/>
      </w:rPr>
    </w:lvl>
  </w:abstractNum>
  <w:num w:numId="1" w16cid:durableId="186050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MTI5NGRiODJkYTlmNWEyNWRkYTZmM2E0MTVjNDkifQ=="/>
  </w:docVars>
  <w:rsids>
    <w:rsidRoot w:val="00274F3A"/>
    <w:rsid w:val="00023933"/>
    <w:rsid w:val="00062E78"/>
    <w:rsid w:val="000639E2"/>
    <w:rsid w:val="000B0FC3"/>
    <w:rsid w:val="001069D7"/>
    <w:rsid w:val="00152849"/>
    <w:rsid w:val="0015515D"/>
    <w:rsid w:val="00165F59"/>
    <w:rsid w:val="001729AB"/>
    <w:rsid w:val="001856D3"/>
    <w:rsid w:val="00197330"/>
    <w:rsid w:val="00197AC6"/>
    <w:rsid w:val="001B116D"/>
    <w:rsid w:val="001C1796"/>
    <w:rsid w:val="002422EF"/>
    <w:rsid w:val="002574D0"/>
    <w:rsid w:val="00272830"/>
    <w:rsid w:val="00274F3A"/>
    <w:rsid w:val="00296A14"/>
    <w:rsid w:val="002E246B"/>
    <w:rsid w:val="002F3653"/>
    <w:rsid w:val="002F65D7"/>
    <w:rsid w:val="0032260E"/>
    <w:rsid w:val="0036266B"/>
    <w:rsid w:val="003711CB"/>
    <w:rsid w:val="00376F38"/>
    <w:rsid w:val="003A5748"/>
    <w:rsid w:val="003E2C5C"/>
    <w:rsid w:val="00406115"/>
    <w:rsid w:val="00422D35"/>
    <w:rsid w:val="00467049"/>
    <w:rsid w:val="00472F04"/>
    <w:rsid w:val="004A3DAB"/>
    <w:rsid w:val="004A652F"/>
    <w:rsid w:val="004D7406"/>
    <w:rsid w:val="004E1132"/>
    <w:rsid w:val="004F6C6D"/>
    <w:rsid w:val="0050305A"/>
    <w:rsid w:val="00512DF0"/>
    <w:rsid w:val="00580DFC"/>
    <w:rsid w:val="005966F3"/>
    <w:rsid w:val="005B394F"/>
    <w:rsid w:val="005B5AC2"/>
    <w:rsid w:val="005D175C"/>
    <w:rsid w:val="005F00B4"/>
    <w:rsid w:val="005F1976"/>
    <w:rsid w:val="005F3457"/>
    <w:rsid w:val="005F61F1"/>
    <w:rsid w:val="0060395B"/>
    <w:rsid w:val="00613126"/>
    <w:rsid w:val="00634B0A"/>
    <w:rsid w:val="00635DB3"/>
    <w:rsid w:val="006812F8"/>
    <w:rsid w:val="006C311F"/>
    <w:rsid w:val="006E5027"/>
    <w:rsid w:val="00717FAB"/>
    <w:rsid w:val="00726411"/>
    <w:rsid w:val="0074501F"/>
    <w:rsid w:val="007466BB"/>
    <w:rsid w:val="00767CE4"/>
    <w:rsid w:val="007A3C6D"/>
    <w:rsid w:val="007D22B3"/>
    <w:rsid w:val="007E3441"/>
    <w:rsid w:val="00801BED"/>
    <w:rsid w:val="008111B5"/>
    <w:rsid w:val="008114D0"/>
    <w:rsid w:val="00812E14"/>
    <w:rsid w:val="00861578"/>
    <w:rsid w:val="0087258E"/>
    <w:rsid w:val="00882471"/>
    <w:rsid w:val="008B0616"/>
    <w:rsid w:val="008E47EE"/>
    <w:rsid w:val="008F4494"/>
    <w:rsid w:val="0090276B"/>
    <w:rsid w:val="00915D83"/>
    <w:rsid w:val="0092649E"/>
    <w:rsid w:val="00960C35"/>
    <w:rsid w:val="00970E72"/>
    <w:rsid w:val="00972D9E"/>
    <w:rsid w:val="00974750"/>
    <w:rsid w:val="0099590A"/>
    <w:rsid w:val="0099790A"/>
    <w:rsid w:val="009A2FC4"/>
    <w:rsid w:val="009E777F"/>
    <w:rsid w:val="00A02B36"/>
    <w:rsid w:val="00A15A10"/>
    <w:rsid w:val="00A27242"/>
    <w:rsid w:val="00AB74DF"/>
    <w:rsid w:val="00AC7AB0"/>
    <w:rsid w:val="00AC7CCF"/>
    <w:rsid w:val="00AE3B76"/>
    <w:rsid w:val="00B36522"/>
    <w:rsid w:val="00B527D1"/>
    <w:rsid w:val="00B804E3"/>
    <w:rsid w:val="00BE354A"/>
    <w:rsid w:val="00C11EE1"/>
    <w:rsid w:val="00C24DB3"/>
    <w:rsid w:val="00C37C51"/>
    <w:rsid w:val="00C54D66"/>
    <w:rsid w:val="00C9026D"/>
    <w:rsid w:val="00CB4755"/>
    <w:rsid w:val="00CD0663"/>
    <w:rsid w:val="00CE1F59"/>
    <w:rsid w:val="00CE2E13"/>
    <w:rsid w:val="00CF5DA1"/>
    <w:rsid w:val="00D24F03"/>
    <w:rsid w:val="00D33F12"/>
    <w:rsid w:val="00D33F71"/>
    <w:rsid w:val="00D41C95"/>
    <w:rsid w:val="00D607D9"/>
    <w:rsid w:val="00D67670"/>
    <w:rsid w:val="00D808B3"/>
    <w:rsid w:val="00DB1A7A"/>
    <w:rsid w:val="00DD13D4"/>
    <w:rsid w:val="00DF485D"/>
    <w:rsid w:val="00DF6302"/>
    <w:rsid w:val="00E24BFD"/>
    <w:rsid w:val="00E41CB2"/>
    <w:rsid w:val="00E619A1"/>
    <w:rsid w:val="00E74700"/>
    <w:rsid w:val="00E969A1"/>
    <w:rsid w:val="00F2523D"/>
    <w:rsid w:val="00F50D36"/>
    <w:rsid w:val="00F80BDC"/>
    <w:rsid w:val="00F939F9"/>
    <w:rsid w:val="00FC615F"/>
    <w:rsid w:val="00FE1949"/>
    <w:rsid w:val="01633174"/>
    <w:rsid w:val="02A20E4E"/>
    <w:rsid w:val="02A61526"/>
    <w:rsid w:val="02C93945"/>
    <w:rsid w:val="030613F9"/>
    <w:rsid w:val="05685F23"/>
    <w:rsid w:val="07B34E61"/>
    <w:rsid w:val="07CF3622"/>
    <w:rsid w:val="09643600"/>
    <w:rsid w:val="0CD56EE1"/>
    <w:rsid w:val="0EE82304"/>
    <w:rsid w:val="17162C2F"/>
    <w:rsid w:val="189A46DD"/>
    <w:rsid w:val="197E766C"/>
    <w:rsid w:val="1B09571D"/>
    <w:rsid w:val="1E5F715C"/>
    <w:rsid w:val="217B1C68"/>
    <w:rsid w:val="23E3324C"/>
    <w:rsid w:val="254E3969"/>
    <w:rsid w:val="25D758CA"/>
    <w:rsid w:val="27BC3F4B"/>
    <w:rsid w:val="2895354D"/>
    <w:rsid w:val="2B7F6B8F"/>
    <w:rsid w:val="2B9E289E"/>
    <w:rsid w:val="2C704348"/>
    <w:rsid w:val="313C6845"/>
    <w:rsid w:val="342716AE"/>
    <w:rsid w:val="391D5B7C"/>
    <w:rsid w:val="3A895B79"/>
    <w:rsid w:val="3B7D521C"/>
    <w:rsid w:val="3C424926"/>
    <w:rsid w:val="3C566DC8"/>
    <w:rsid w:val="46BB458A"/>
    <w:rsid w:val="475C5B00"/>
    <w:rsid w:val="4BA23F32"/>
    <w:rsid w:val="4C555869"/>
    <w:rsid w:val="4CF85F6B"/>
    <w:rsid w:val="4FB54E8E"/>
    <w:rsid w:val="4FDE4964"/>
    <w:rsid w:val="531424A6"/>
    <w:rsid w:val="55322ED8"/>
    <w:rsid w:val="55B016F9"/>
    <w:rsid w:val="585D2415"/>
    <w:rsid w:val="5E6261E1"/>
    <w:rsid w:val="5FCF55D7"/>
    <w:rsid w:val="647F3D36"/>
    <w:rsid w:val="6656623F"/>
    <w:rsid w:val="677020EF"/>
    <w:rsid w:val="686D66A3"/>
    <w:rsid w:val="6881793C"/>
    <w:rsid w:val="688F1C06"/>
    <w:rsid w:val="6BC27AEE"/>
    <w:rsid w:val="708668F3"/>
    <w:rsid w:val="715F08FC"/>
    <w:rsid w:val="7312197C"/>
    <w:rsid w:val="7324695B"/>
    <w:rsid w:val="73502AE7"/>
    <w:rsid w:val="7407529D"/>
    <w:rsid w:val="74F04E6D"/>
    <w:rsid w:val="76385563"/>
    <w:rsid w:val="7F49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2490"/>
  <w15:docId w15:val="{64FB6D96-D46B-4098-88EF-97C4E39E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Char"/>
    <w:uiPriority w:val="9"/>
    <w:qFormat/>
    <w:pPr>
      <w:keepNext/>
      <w:keepLines/>
      <w:spacing w:before="340" w:after="330" w:line="578" w:lineRule="auto"/>
      <w:outlineLvl w:val="0"/>
    </w:pPr>
    <w:rPr>
      <w:rFonts w:eastAsia="SimHei"/>
      <w:b/>
      <w:bCs/>
      <w:kern w:val="44"/>
      <w:sz w:val="36"/>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FangSong"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toc 3"/>
    <w:basedOn w:val="a"/>
    <w:next w:val="a"/>
    <w:uiPriority w:val="39"/>
    <w:qFormat/>
    <w:pPr>
      <w:ind w:leftChars="400" w:left="84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Char1">
    <w:name w:val="머리글 Char"/>
    <w:basedOn w:val="a0"/>
    <w:link w:val="a6"/>
    <w:uiPriority w:val="99"/>
    <w:qFormat/>
    <w:rPr>
      <w:sz w:val="18"/>
      <w:szCs w:val="18"/>
    </w:rPr>
  </w:style>
  <w:style w:type="character" w:customStyle="1" w:styleId="Char0">
    <w:name w:val="바닥글 Char"/>
    <w:basedOn w:val="a0"/>
    <w:link w:val="a5"/>
    <w:uiPriority w:val="99"/>
    <w:qFormat/>
    <w:rPr>
      <w:sz w:val="18"/>
      <w:szCs w:val="18"/>
    </w:rPr>
  </w:style>
  <w:style w:type="character" w:customStyle="1" w:styleId="1Char">
    <w:name w:val="제목 1 Char"/>
    <w:basedOn w:val="a0"/>
    <w:link w:val="1"/>
    <w:uiPriority w:val="9"/>
    <w:qFormat/>
    <w:rPr>
      <w:rFonts w:eastAsia="SimHei"/>
      <w:b/>
      <w:bCs/>
      <w:kern w:val="44"/>
      <w:sz w:val="36"/>
      <w:szCs w:val="44"/>
    </w:rPr>
  </w:style>
  <w:style w:type="character" w:customStyle="1" w:styleId="2Char">
    <w:name w:val="제목 2 Char"/>
    <w:basedOn w:val="a0"/>
    <w:link w:val="2"/>
    <w:uiPriority w:val="9"/>
    <w:qFormat/>
    <w:rPr>
      <w:rFonts w:asciiTheme="majorHAnsi" w:eastAsia="FangSong" w:hAnsiTheme="majorHAnsi" w:cstheme="majorBidi"/>
      <w:bCs/>
      <w:sz w:val="32"/>
      <w:szCs w:val="32"/>
    </w:rPr>
  </w:style>
  <w:style w:type="paragraph" w:styleId="aa">
    <w:name w:val="List Paragraph"/>
    <w:basedOn w:val="a"/>
    <w:uiPriority w:val="34"/>
    <w:qFormat/>
    <w:pPr>
      <w:ind w:firstLineChars="200" w:firstLine="420"/>
    </w:pPr>
  </w:style>
  <w:style w:type="character" w:customStyle="1" w:styleId="Char">
    <w:name w:val="풍선 도움말 텍스트 Char"/>
    <w:basedOn w:val="a0"/>
    <w:link w:val="a4"/>
    <w:uiPriority w:val="99"/>
    <w:semiHidden/>
    <w:qFormat/>
    <w:rPr>
      <w:kern w:val="2"/>
      <w:sz w:val="18"/>
      <w:szCs w:val="18"/>
    </w:rPr>
  </w:style>
  <w:style w:type="character" w:customStyle="1" w:styleId="11">
    <w:name w:val="不明显强调1"/>
    <w:basedOn w:val="a0"/>
    <w:uiPriority w:val="19"/>
    <w:qFormat/>
    <w:rPr>
      <w:i/>
      <w:iCs/>
      <w:color w:val="7F7F7F" w:themeColor="text1" w:themeTint="80"/>
    </w:rPr>
  </w:style>
  <w:style w:type="paragraph" w:styleId="ab">
    <w:name w:val="Normal (Web)"/>
    <w:basedOn w:val="a"/>
    <w:uiPriority w:val="99"/>
    <w:semiHidden/>
    <w:unhideWhenUsed/>
    <w:rsid w:val="00974750"/>
    <w:pPr>
      <w:widowControl/>
      <w:spacing w:before="100" w:beforeAutospacing="1" w:after="100" w:afterAutospacing="1"/>
      <w:jc w:val="left"/>
    </w:pPr>
    <w:rPr>
      <w:rFonts w:ascii="굴림" w:eastAsia="굴림" w:hAnsi="굴림" w:cs="굴림"/>
      <w:kern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58134">
      <w:bodyDiv w:val="1"/>
      <w:marLeft w:val="0"/>
      <w:marRight w:val="0"/>
      <w:marTop w:val="0"/>
      <w:marBottom w:val="0"/>
      <w:divBdr>
        <w:top w:val="none" w:sz="0" w:space="0" w:color="auto"/>
        <w:left w:val="none" w:sz="0" w:space="0" w:color="auto"/>
        <w:bottom w:val="none" w:sz="0" w:space="0" w:color="auto"/>
        <w:right w:val="none" w:sz="0" w:space="0" w:color="auto"/>
      </w:divBdr>
      <w:divsChild>
        <w:div w:id="1700618170">
          <w:marLeft w:val="0"/>
          <w:marRight w:val="0"/>
          <w:marTop w:val="0"/>
          <w:marBottom w:val="0"/>
          <w:divBdr>
            <w:top w:val="none" w:sz="0" w:space="0" w:color="auto"/>
            <w:left w:val="none" w:sz="0" w:space="0" w:color="auto"/>
            <w:bottom w:val="single" w:sz="6" w:space="6" w:color="989898"/>
            <w:right w:val="none" w:sz="0" w:space="0" w:color="auto"/>
          </w:divBdr>
        </w:div>
        <w:div w:id="349377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906</Words>
  <Characters>5166</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微软中国</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ZFL</dc:creator>
  <cp:lastModifiedBy>대한화장품협회 관리자</cp:lastModifiedBy>
  <cp:revision>16</cp:revision>
  <cp:lastPrinted>2023-01-25T02:05:00Z</cp:lastPrinted>
  <dcterms:created xsi:type="dcterms:W3CDTF">2022-11-18T01:10:00Z</dcterms:created>
  <dcterms:modified xsi:type="dcterms:W3CDTF">2023-01-25T02:16:00Z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48BC52CF7214483892ECF77DA9F146B7</vt:lpwstr>
  </property>
</Properties>
</file>