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79AB" w14:textId="77777777" w:rsidR="00BB5D79" w:rsidRPr="00BB5D79" w:rsidRDefault="00BB5D79" w:rsidP="00BB5D79">
      <w:pPr>
        <w:widowControl/>
        <w:spacing w:line="585" w:lineRule="atLeast"/>
        <w:jc w:val="center"/>
        <w:outlineLvl w:val="1"/>
        <w:rPr>
          <w:rFonts w:ascii="Microsoft YaHei" w:eastAsia="Microsoft YaHei" w:hAnsi="Microsoft YaHei" w:cs="굴림"/>
          <w:color w:val="333333"/>
          <w:kern w:val="0"/>
          <w:sz w:val="39"/>
          <w:szCs w:val="39"/>
        </w:rPr>
      </w:pPr>
      <w:r w:rsidRPr="00BB5D79">
        <w:rPr>
          <w:rFonts w:ascii="Microsoft YaHei" w:eastAsia="Microsoft YaHei" w:hAnsi="Microsoft YaHei" w:cs="굴림" w:hint="eastAsia"/>
          <w:color w:val="333333"/>
          <w:kern w:val="0"/>
          <w:sz w:val="39"/>
          <w:szCs w:val="39"/>
        </w:rPr>
        <w:t>国家药监局关于发布优化化妆品安全评估管理若干措施的公告（2024年第50号）</w:t>
      </w:r>
    </w:p>
    <w:p w14:paraId="35A10072" w14:textId="77777777" w:rsidR="00BB5D79" w:rsidRPr="00BB5D79" w:rsidRDefault="00BB5D79" w:rsidP="00BB5D79">
      <w:pPr>
        <w:widowControl/>
        <w:spacing w:line="315" w:lineRule="atLeast"/>
        <w:jc w:val="right"/>
        <w:rPr>
          <w:rFonts w:ascii="굴림" w:eastAsia="굴림" w:hAnsi="굴림" w:cs="굴림"/>
          <w:color w:val="919191"/>
          <w:kern w:val="0"/>
          <w:szCs w:val="21"/>
        </w:rPr>
      </w:pPr>
      <w:r w:rsidRPr="00BB5D79">
        <w:rPr>
          <w:rFonts w:ascii="새굴림" w:eastAsia="새굴림" w:hAnsi="새굴림" w:cs="새굴림" w:hint="eastAsia"/>
          <w:color w:val="919191"/>
          <w:kern w:val="0"/>
          <w:szCs w:val="21"/>
        </w:rPr>
        <w:t>发</w:t>
      </w:r>
      <w:r w:rsidRPr="00BB5D79">
        <w:rPr>
          <w:rFonts w:ascii="굴림" w:eastAsia="굴림" w:hAnsi="굴림" w:cs="굴림" w:hint="eastAsia"/>
          <w:color w:val="919191"/>
          <w:kern w:val="0"/>
          <w:szCs w:val="21"/>
        </w:rPr>
        <w:t>布</w:t>
      </w:r>
      <w:r w:rsidRPr="00BB5D79">
        <w:rPr>
          <w:rFonts w:ascii="새굴림" w:eastAsia="새굴림" w:hAnsi="새굴림" w:cs="새굴림" w:hint="eastAsia"/>
          <w:color w:val="919191"/>
          <w:kern w:val="0"/>
          <w:szCs w:val="21"/>
        </w:rPr>
        <w:t>时间</w:t>
      </w:r>
      <w:r w:rsidRPr="00BB5D79">
        <w:rPr>
          <w:rFonts w:ascii="굴림" w:eastAsia="굴림" w:hAnsi="굴림" w:cs="굴림" w:hint="eastAsia"/>
          <w:color w:val="919191"/>
          <w:kern w:val="0"/>
          <w:szCs w:val="21"/>
        </w:rPr>
        <w:t>：</w:t>
      </w:r>
      <w:r w:rsidRPr="00BB5D79">
        <w:rPr>
          <w:rFonts w:ascii="굴림" w:eastAsia="굴림" w:hAnsi="굴림" w:cs="굴림"/>
          <w:color w:val="919191"/>
          <w:kern w:val="0"/>
          <w:szCs w:val="21"/>
        </w:rPr>
        <w:t>2024-04-22</w:t>
      </w:r>
    </w:p>
    <w:p w14:paraId="7C9AE0F0" w14:textId="5A6CAB9E" w:rsidR="00BB5D79" w:rsidRPr="00BB5D79" w:rsidRDefault="00BB5D79" w:rsidP="00BB5D79">
      <w:pPr>
        <w:widowControl/>
        <w:spacing w:line="480" w:lineRule="atLeast"/>
        <w:jc w:val="left"/>
        <w:rPr>
          <w:rFonts w:ascii="굴림" w:eastAsia="굴림" w:hAnsi="굴림" w:cs="굴림"/>
          <w:color w:val="000000"/>
          <w:kern w:val="0"/>
          <w:sz w:val="24"/>
        </w:rPr>
      </w:pPr>
      <w:r w:rsidRPr="00BB5D79">
        <w:rPr>
          <w:rFonts w:ascii="굴림" w:eastAsia="굴림" w:hAnsi="굴림" w:cs="굴림"/>
          <w:color w:val="000000"/>
          <w:kern w:val="0"/>
          <w:sz w:val="24"/>
        </w:rPr>
        <w:t xml:space="preserve">　　</w:t>
      </w:r>
      <w:r w:rsidRPr="00BB5D79">
        <w:rPr>
          <w:rFonts w:ascii="새굴림" w:eastAsia="새굴림" w:hAnsi="새굴림" w:cs="새굴림" w:hint="eastAsia"/>
          <w:color w:val="000000"/>
          <w:kern w:val="0"/>
          <w:sz w:val="24"/>
        </w:rPr>
        <w:t>为进</w:t>
      </w:r>
      <w:r w:rsidRPr="00BB5D79">
        <w:rPr>
          <w:rFonts w:ascii="굴림" w:eastAsia="굴림" w:hAnsi="굴림" w:cs="굴림" w:hint="eastAsia"/>
          <w:color w:val="000000"/>
          <w:kern w:val="0"/>
          <w:sz w:val="24"/>
        </w:rPr>
        <w:t>一步</w:t>
      </w:r>
      <w:r w:rsidRPr="00BB5D79">
        <w:rPr>
          <w:rFonts w:ascii="새굴림" w:eastAsia="새굴림" w:hAnsi="새굴림" w:cs="새굴림" w:hint="eastAsia"/>
          <w:color w:val="000000"/>
          <w:kern w:val="0"/>
          <w:sz w:val="24"/>
        </w:rPr>
        <w:t>优</w:t>
      </w:r>
      <w:r w:rsidRPr="00BB5D79">
        <w:rPr>
          <w:rFonts w:ascii="굴림" w:eastAsia="굴림" w:hAnsi="굴림" w:cs="굴림" w:hint="eastAsia"/>
          <w:color w:val="000000"/>
          <w:kern w:val="0"/>
          <w:sz w:val="24"/>
        </w:rPr>
        <w:t>化化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估管理工作，有序推</w:t>
      </w:r>
      <w:r w:rsidRPr="00BB5D79">
        <w:rPr>
          <w:rFonts w:ascii="새굴림" w:eastAsia="새굴림" w:hAnsi="새굴림" w:cs="새굴림" w:hint="eastAsia"/>
          <w:color w:val="000000"/>
          <w:kern w:val="0"/>
          <w:sz w:val="24"/>
        </w:rPr>
        <w:t>进</w:t>
      </w:r>
      <w:r w:rsidRPr="00BB5D79">
        <w:rPr>
          <w:rFonts w:ascii="굴림" w:eastAsia="굴림" w:hAnsi="굴림" w:cs="굴림" w:hint="eastAsia"/>
          <w:color w:val="000000"/>
          <w:kern w:val="0"/>
          <w:sz w:val="24"/>
        </w:rPr>
        <w:t>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估制度</w:t>
      </w:r>
      <w:r w:rsidRPr="00BB5D79">
        <w:rPr>
          <w:rFonts w:ascii="새굴림" w:eastAsia="새굴림" w:hAnsi="새굴림" w:cs="새굴림" w:hint="eastAsia"/>
          <w:color w:val="000000"/>
          <w:kern w:val="0"/>
          <w:sz w:val="24"/>
        </w:rPr>
        <w:t>实</w:t>
      </w:r>
      <w:r w:rsidRPr="00BB5D79">
        <w:rPr>
          <w:rFonts w:ascii="굴림" w:eastAsia="굴림" w:hAnsi="굴림" w:cs="굴림" w:hint="eastAsia"/>
          <w:color w:val="000000"/>
          <w:kern w:val="0"/>
          <w:sz w:val="24"/>
        </w:rPr>
        <w:t>施，根据《化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w:t>
      </w:r>
      <w:r w:rsidRPr="00BB5D79">
        <w:rPr>
          <w:rFonts w:ascii="새굴림" w:eastAsia="새굴림" w:hAnsi="새굴림" w:cs="새굴림" w:hint="eastAsia"/>
          <w:color w:val="000000"/>
          <w:kern w:val="0"/>
          <w:sz w:val="24"/>
        </w:rPr>
        <w:t>监</w:t>
      </w:r>
      <w:r w:rsidRPr="00BB5D79">
        <w:rPr>
          <w:rFonts w:ascii="굴림" w:eastAsia="굴림" w:hAnsi="굴림" w:cs="굴림" w:hint="eastAsia"/>
          <w:color w:val="000000"/>
          <w:kern w:val="0"/>
          <w:sz w:val="24"/>
        </w:rPr>
        <w:t>督管理</w:t>
      </w:r>
      <w:r w:rsidRPr="00BB5D79">
        <w:rPr>
          <w:rFonts w:ascii="새굴림" w:eastAsia="새굴림" w:hAnsi="새굴림" w:cs="새굴림" w:hint="eastAsia"/>
          <w:color w:val="000000"/>
          <w:kern w:val="0"/>
          <w:sz w:val="24"/>
        </w:rPr>
        <w:t>条</w:t>
      </w:r>
      <w:r w:rsidRPr="00BB5D79">
        <w:rPr>
          <w:rFonts w:ascii="굴림" w:eastAsia="굴림" w:hAnsi="굴림" w:cs="굴림" w:hint="eastAsia"/>
          <w:color w:val="000000"/>
          <w:kern w:val="0"/>
          <w:sz w:val="24"/>
        </w:rPr>
        <w:t>例》《化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品注</w:t>
      </w:r>
      <w:r w:rsidRPr="00BB5D79">
        <w:rPr>
          <w:rFonts w:ascii="새굴림" w:eastAsia="새굴림" w:hAnsi="새굴림" w:cs="새굴림" w:hint="eastAsia"/>
          <w:color w:val="000000"/>
          <w:kern w:val="0"/>
          <w:sz w:val="24"/>
        </w:rPr>
        <w:t>册备</w:t>
      </w:r>
      <w:r w:rsidRPr="00BB5D79">
        <w:rPr>
          <w:rFonts w:ascii="굴림" w:eastAsia="굴림" w:hAnsi="굴림" w:cs="굴림" w:hint="eastAsia"/>
          <w:color w:val="000000"/>
          <w:kern w:val="0"/>
          <w:sz w:val="24"/>
        </w:rPr>
        <w:t>案管理</w:t>
      </w:r>
      <w:r w:rsidRPr="00BB5D79">
        <w:rPr>
          <w:rFonts w:ascii="새굴림" w:eastAsia="새굴림" w:hAnsi="새굴림" w:cs="새굴림" w:hint="eastAsia"/>
          <w:color w:val="000000"/>
          <w:kern w:val="0"/>
          <w:sz w:val="24"/>
        </w:rPr>
        <w:t>办</w:t>
      </w:r>
      <w:r w:rsidRPr="00BB5D79">
        <w:rPr>
          <w:rFonts w:ascii="굴림" w:eastAsia="굴림" w:hAnsi="굴림" w:cs="굴림" w:hint="eastAsia"/>
          <w:color w:val="000000"/>
          <w:kern w:val="0"/>
          <w:sz w:val="24"/>
        </w:rPr>
        <w:t>法》《化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估技</w:t>
      </w:r>
      <w:r w:rsidRPr="00BB5D79">
        <w:rPr>
          <w:rFonts w:ascii="새굴림" w:eastAsia="새굴림" w:hAnsi="새굴림" w:cs="새굴림" w:hint="eastAsia"/>
          <w:color w:val="000000"/>
          <w:kern w:val="0"/>
          <w:sz w:val="24"/>
        </w:rPr>
        <w:t>术导则</w:t>
      </w:r>
      <w:r w:rsidRPr="00BB5D79">
        <w:rPr>
          <w:rFonts w:ascii="굴림" w:eastAsia="굴림" w:hAnsi="굴림" w:cs="굴림"/>
          <w:color w:val="000000"/>
          <w:kern w:val="0"/>
          <w:sz w:val="24"/>
        </w:rPr>
        <w:t>（2021年版）》（以下</w:t>
      </w:r>
      <w:r w:rsidRPr="00BB5D79">
        <w:rPr>
          <w:rFonts w:ascii="새굴림" w:eastAsia="새굴림" w:hAnsi="새굴림" w:cs="새굴림" w:hint="eastAsia"/>
          <w:color w:val="000000"/>
          <w:kern w:val="0"/>
          <w:sz w:val="24"/>
        </w:rPr>
        <w:t>简称</w:t>
      </w:r>
      <w:r w:rsidRPr="00BB5D79">
        <w:rPr>
          <w:rFonts w:ascii="굴림" w:eastAsia="굴림" w:hAnsi="굴림" w:cs="굴림" w:hint="eastAsia"/>
          <w:color w:val="000000"/>
          <w:kern w:val="0"/>
          <w:sz w:val="24"/>
        </w:rPr>
        <w:t>《</w:t>
      </w:r>
      <w:r w:rsidRPr="00BB5D79">
        <w:rPr>
          <w:rFonts w:ascii="새굴림" w:eastAsia="새굴림" w:hAnsi="새굴림" w:cs="새굴림" w:hint="eastAsia"/>
          <w:color w:val="000000"/>
          <w:kern w:val="0"/>
          <w:sz w:val="24"/>
        </w:rPr>
        <w:t>导则</w:t>
      </w:r>
      <w:r w:rsidRPr="00BB5D79">
        <w:rPr>
          <w:rFonts w:ascii="굴림" w:eastAsia="굴림" w:hAnsi="굴림" w:cs="굴림" w:hint="eastAsia"/>
          <w:color w:val="000000"/>
          <w:kern w:val="0"/>
          <w:sz w:val="24"/>
        </w:rPr>
        <w:t>》）等相</w:t>
      </w:r>
      <w:r w:rsidRPr="00BB5D79">
        <w:rPr>
          <w:rFonts w:ascii="새굴림" w:eastAsia="새굴림" w:hAnsi="새굴림" w:cs="새굴림" w:hint="eastAsia"/>
          <w:color w:val="000000"/>
          <w:kern w:val="0"/>
          <w:sz w:val="24"/>
        </w:rPr>
        <w:t>关</w:t>
      </w:r>
      <w:r w:rsidRPr="00BB5D79">
        <w:rPr>
          <w:rFonts w:ascii="굴림" w:eastAsia="굴림" w:hAnsi="굴림" w:cs="굴림" w:hint="eastAsia"/>
          <w:color w:val="000000"/>
          <w:kern w:val="0"/>
          <w:sz w:val="24"/>
        </w:rPr>
        <w:t>法</w:t>
      </w:r>
      <w:r w:rsidRPr="00BB5D79">
        <w:rPr>
          <w:rFonts w:ascii="새굴림" w:eastAsia="새굴림" w:hAnsi="새굴림" w:cs="새굴림" w:hint="eastAsia"/>
          <w:color w:val="000000"/>
          <w:kern w:val="0"/>
          <w:sz w:val="24"/>
        </w:rPr>
        <w:t>规</w:t>
      </w:r>
      <w:r w:rsidRPr="00BB5D79">
        <w:rPr>
          <w:rFonts w:ascii="굴림" w:eastAsia="굴림" w:hAnsi="굴림" w:cs="굴림" w:hint="eastAsia"/>
          <w:color w:val="000000"/>
          <w:kern w:val="0"/>
          <w:sz w:val="24"/>
        </w:rPr>
        <w:t>要求，</w:t>
      </w:r>
      <w:r w:rsidRPr="00BB5D79">
        <w:rPr>
          <w:rFonts w:ascii="새굴림" w:eastAsia="새굴림" w:hAnsi="새굴림" w:cs="새굴림" w:hint="eastAsia"/>
          <w:color w:val="000000"/>
          <w:kern w:val="0"/>
          <w:sz w:val="24"/>
        </w:rPr>
        <w:t>国</w:t>
      </w:r>
      <w:r w:rsidRPr="00BB5D79">
        <w:rPr>
          <w:rFonts w:ascii="굴림" w:eastAsia="굴림" w:hAnsi="굴림" w:cs="굴림" w:hint="eastAsia"/>
          <w:color w:val="000000"/>
          <w:kern w:val="0"/>
          <w:sz w:val="24"/>
        </w:rPr>
        <w:t>家</w:t>
      </w:r>
      <w:r w:rsidRPr="00BB5D79">
        <w:rPr>
          <w:rFonts w:ascii="새굴림" w:eastAsia="새굴림" w:hAnsi="새굴림" w:cs="새굴림" w:hint="eastAsia"/>
          <w:color w:val="000000"/>
          <w:kern w:val="0"/>
          <w:sz w:val="24"/>
        </w:rPr>
        <w:t>药监</w:t>
      </w:r>
      <w:r w:rsidRPr="00BB5D79">
        <w:rPr>
          <w:rFonts w:ascii="굴림" w:eastAsia="굴림" w:hAnsi="굴림" w:cs="굴림" w:hint="eastAsia"/>
          <w:color w:val="000000"/>
          <w:kern w:val="0"/>
          <w:sz w:val="24"/>
        </w:rPr>
        <w:t>局制定了《</w:t>
      </w:r>
      <w:r w:rsidRPr="00BB5D79">
        <w:rPr>
          <w:rFonts w:ascii="새굴림" w:eastAsia="새굴림" w:hAnsi="새굴림" w:cs="새굴림" w:hint="eastAsia"/>
          <w:color w:val="000000"/>
          <w:kern w:val="0"/>
          <w:sz w:val="24"/>
        </w:rPr>
        <w:t>优</w:t>
      </w:r>
      <w:r w:rsidRPr="00BB5D79">
        <w:rPr>
          <w:rFonts w:ascii="굴림" w:eastAsia="굴림" w:hAnsi="굴림" w:cs="굴림" w:hint="eastAsia"/>
          <w:color w:val="000000"/>
          <w:kern w:val="0"/>
          <w:sz w:val="24"/>
        </w:rPr>
        <w:t>化化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估管理若干措施》，</w:t>
      </w:r>
      <w:r w:rsidRPr="00BB5D79">
        <w:rPr>
          <w:rFonts w:ascii="새굴림" w:eastAsia="새굴림" w:hAnsi="새굴림" w:cs="새굴림" w:hint="eastAsia"/>
          <w:color w:val="000000"/>
          <w:kern w:val="0"/>
          <w:sz w:val="24"/>
        </w:rPr>
        <w:t>现</w:t>
      </w:r>
      <w:r w:rsidRPr="00BB5D79">
        <w:rPr>
          <w:rFonts w:ascii="굴림" w:eastAsia="굴림" w:hAnsi="굴림" w:cs="굴림" w:hint="eastAsia"/>
          <w:color w:val="000000"/>
          <w:kern w:val="0"/>
          <w:sz w:val="24"/>
        </w:rPr>
        <w:t>予以</w:t>
      </w:r>
      <w:r w:rsidRPr="00BB5D79">
        <w:rPr>
          <w:rFonts w:ascii="새굴림" w:eastAsia="새굴림" w:hAnsi="새굴림" w:cs="새굴림" w:hint="eastAsia"/>
          <w:color w:val="000000"/>
          <w:kern w:val="0"/>
          <w:sz w:val="24"/>
        </w:rPr>
        <w:t>发</w:t>
      </w:r>
      <w:r w:rsidRPr="00BB5D79">
        <w:rPr>
          <w:rFonts w:ascii="굴림" w:eastAsia="굴림" w:hAnsi="굴림" w:cs="굴림" w:hint="eastAsia"/>
          <w:color w:val="000000"/>
          <w:kern w:val="0"/>
          <w:sz w:val="24"/>
        </w:rPr>
        <w:t>布，自</w:t>
      </w:r>
      <w:r w:rsidRPr="00BB5D79">
        <w:rPr>
          <w:rFonts w:ascii="굴림" w:eastAsia="굴림" w:hAnsi="굴림" w:cs="굴림"/>
          <w:color w:val="000000"/>
          <w:kern w:val="0"/>
          <w:sz w:val="24"/>
        </w:rPr>
        <w:t>2024年5月1日起施行。有</w:t>
      </w:r>
      <w:r w:rsidRPr="00BB5D79">
        <w:rPr>
          <w:rFonts w:ascii="새굴림" w:eastAsia="새굴림" w:hAnsi="새굴림" w:cs="새굴림" w:hint="eastAsia"/>
          <w:color w:val="000000"/>
          <w:kern w:val="0"/>
          <w:sz w:val="24"/>
        </w:rPr>
        <w:t>关</w:t>
      </w:r>
      <w:r w:rsidRPr="00BB5D79">
        <w:rPr>
          <w:rFonts w:ascii="굴림" w:eastAsia="굴림" w:hAnsi="굴림" w:cs="굴림" w:hint="eastAsia"/>
          <w:color w:val="000000"/>
          <w:kern w:val="0"/>
          <w:sz w:val="24"/>
        </w:rPr>
        <w:t>事宜公告</w:t>
      </w:r>
      <w:r w:rsidRPr="00BB5D79">
        <w:rPr>
          <w:rFonts w:ascii="굴림" w:eastAsia="굴림" w:hAnsi="굴림" w:cs="굴림"/>
          <w:color w:val="000000"/>
          <w:kern w:val="0"/>
          <w:sz w:val="24"/>
        </w:rPr>
        <w:br/>
        <w:t>如下：</w:t>
      </w:r>
    </w:p>
    <w:p w14:paraId="5CB45AFC" w14:textId="77777777" w:rsidR="00BB5D79" w:rsidRPr="00BB5D79" w:rsidRDefault="00BB5D79" w:rsidP="00BB5D79">
      <w:pPr>
        <w:widowControl/>
        <w:spacing w:line="480" w:lineRule="atLeast"/>
        <w:jc w:val="left"/>
        <w:rPr>
          <w:rFonts w:ascii="굴림" w:eastAsia="굴림" w:hAnsi="굴림" w:cs="굴림"/>
          <w:color w:val="000000"/>
          <w:kern w:val="0"/>
          <w:sz w:val="24"/>
        </w:rPr>
      </w:pPr>
      <w:r w:rsidRPr="00BB5D79">
        <w:rPr>
          <w:rFonts w:ascii="굴림" w:eastAsia="굴림" w:hAnsi="굴림" w:cs="굴림"/>
          <w:color w:val="000000"/>
          <w:kern w:val="0"/>
          <w:sz w:val="24"/>
        </w:rPr>
        <w:t xml:space="preserve">　　一、</w:t>
      </w:r>
      <w:r w:rsidRPr="00BB5D79">
        <w:rPr>
          <w:rFonts w:ascii="새굴림" w:eastAsia="새굴림" w:hAnsi="새굴림" w:cs="새굴림" w:hint="eastAsia"/>
          <w:color w:val="000000"/>
          <w:kern w:val="0"/>
          <w:sz w:val="24"/>
        </w:rPr>
        <w:t>对</w:t>
      </w:r>
      <w:r w:rsidRPr="00BB5D79">
        <w:rPr>
          <w:rFonts w:ascii="굴림" w:eastAsia="굴림" w:hAnsi="굴림" w:cs="굴림" w:hint="eastAsia"/>
          <w:color w:val="000000"/>
          <w:kern w:val="0"/>
          <w:sz w:val="24"/>
        </w:rPr>
        <w:t>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w:t>
      </w:r>
      <w:r w:rsidRPr="00BB5D79">
        <w:rPr>
          <w:rFonts w:ascii="새굴림" w:eastAsia="새굴림" w:hAnsi="새굴림" w:cs="새굴림" w:hint="eastAsia"/>
          <w:color w:val="000000"/>
          <w:kern w:val="0"/>
          <w:sz w:val="24"/>
        </w:rPr>
        <w:t>资</w:t>
      </w:r>
      <w:r w:rsidRPr="00BB5D79">
        <w:rPr>
          <w:rFonts w:ascii="굴림" w:eastAsia="굴림" w:hAnsi="굴림" w:cs="굴림" w:hint="eastAsia"/>
          <w:color w:val="000000"/>
          <w:kern w:val="0"/>
          <w:sz w:val="24"/>
        </w:rPr>
        <w:t>料</w:t>
      </w:r>
      <w:r w:rsidRPr="00BB5D79">
        <w:rPr>
          <w:rFonts w:ascii="새굴림" w:eastAsia="새굴림" w:hAnsi="새굴림" w:cs="새굴림" w:hint="eastAsia"/>
          <w:color w:val="000000"/>
          <w:kern w:val="0"/>
          <w:sz w:val="24"/>
        </w:rPr>
        <w:t>实</w:t>
      </w:r>
      <w:r w:rsidRPr="00BB5D79">
        <w:rPr>
          <w:rFonts w:ascii="굴림" w:eastAsia="굴림" w:hAnsi="굴림" w:cs="굴림" w:hint="eastAsia"/>
          <w:color w:val="000000"/>
          <w:kern w:val="0"/>
          <w:sz w:val="24"/>
        </w:rPr>
        <w:t>施分</w:t>
      </w:r>
      <w:r w:rsidRPr="00BB5D79">
        <w:rPr>
          <w:rFonts w:ascii="새굴림" w:eastAsia="새굴림" w:hAnsi="새굴림" w:cs="새굴림" w:hint="eastAsia"/>
          <w:color w:val="000000"/>
          <w:kern w:val="0"/>
          <w:sz w:val="24"/>
        </w:rPr>
        <w:t>类</w:t>
      </w:r>
      <w:r w:rsidRPr="00BB5D79">
        <w:rPr>
          <w:rFonts w:ascii="굴림" w:eastAsia="굴림" w:hAnsi="굴림" w:cs="굴림" w:hint="eastAsia"/>
          <w:color w:val="000000"/>
          <w:kern w:val="0"/>
          <w:sz w:val="24"/>
        </w:rPr>
        <w:t>管理，允</w:t>
      </w:r>
      <w:r w:rsidRPr="00BB5D79">
        <w:rPr>
          <w:rFonts w:ascii="새굴림" w:eastAsia="새굴림" w:hAnsi="새굴림" w:cs="새굴림" w:hint="eastAsia"/>
          <w:color w:val="000000"/>
          <w:kern w:val="0"/>
          <w:sz w:val="24"/>
        </w:rPr>
        <w:t>许</w:t>
      </w:r>
      <w:r w:rsidRPr="00BB5D79">
        <w:rPr>
          <w:rFonts w:ascii="굴림" w:eastAsia="굴림" w:hAnsi="굴림" w:cs="굴림" w:hint="eastAsia"/>
          <w:color w:val="000000"/>
          <w:kern w:val="0"/>
          <w:sz w:val="24"/>
        </w:rPr>
        <w:t>部分符合</w:t>
      </w:r>
      <w:r w:rsidRPr="00BB5D79">
        <w:rPr>
          <w:rFonts w:ascii="새굴림" w:eastAsia="새굴림" w:hAnsi="새굴림" w:cs="새굴림" w:hint="eastAsia"/>
          <w:color w:val="000000"/>
          <w:kern w:val="0"/>
          <w:sz w:val="24"/>
        </w:rPr>
        <w:t>条</w:t>
      </w:r>
      <w:r w:rsidRPr="00BB5D79">
        <w:rPr>
          <w:rFonts w:ascii="굴림" w:eastAsia="굴림" w:hAnsi="굴림" w:cs="굴림" w:hint="eastAsia"/>
          <w:color w:val="000000"/>
          <w:kern w:val="0"/>
          <w:sz w:val="24"/>
        </w:rPr>
        <w:t>件的普通化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品提交安全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估基本</w:t>
      </w:r>
      <w:r w:rsidRPr="00BB5D79">
        <w:rPr>
          <w:rFonts w:ascii="새굴림" w:eastAsia="새굴림" w:hAnsi="새굴림" w:cs="새굴림" w:hint="eastAsia"/>
          <w:color w:val="000000"/>
          <w:kern w:val="0"/>
          <w:sz w:val="24"/>
        </w:rPr>
        <w:t>结论</w:t>
      </w:r>
      <w:r w:rsidRPr="00BB5D79">
        <w:rPr>
          <w:rFonts w:ascii="굴림" w:eastAsia="굴림" w:hAnsi="굴림" w:cs="굴림" w:hint="eastAsia"/>
          <w:color w:val="000000"/>
          <w:kern w:val="0"/>
          <w:sz w:val="24"/>
        </w:rPr>
        <w:t>，安全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w:t>
      </w:r>
      <w:r w:rsidRPr="00BB5D79">
        <w:rPr>
          <w:rFonts w:ascii="새굴림" w:eastAsia="새굴림" w:hAnsi="새굴림" w:cs="새굴림" w:hint="eastAsia"/>
          <w:color w:val="000000"/>
          <w:kern w:val="0"/>
          <w:sz w:val="24"/>
        </w:rPr>
        <w:t>报</w:t>
      </w:r>
      <w:r w:rsidRPr="00BB5D79">
        <w:rPr>
          <w:rFonts w:ascii="굴림" w:eastAsia="굴림" w:hAnsi="굴림" w:cs="굴림" w:hint="eastAsia"/>
          <w:color w:val="000000"/>
          <w:kern w:val="0"/>
          <w:sz w:val="24"/>
        </w:rPr>
        <w:t>告由化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品企</w:t>
      </w:r>
      <w:r w:rsidRPr="00BB5D79">
        <w:rPr>
          <w:rFonts w:ascii="새굴림" w:eastAsia="새굴림" w:hAnsi="새굴림" w:cs="새굴림" w:hint="eastAsia"/>
          <w:color w:val="000000"/>
          <w:kern w:val="0"/>
          <w:sz w:val="24"/>
        </w:rPr>
        <w:t>业</w:t>
      </w:r>
      <w:r w:rsidRPr="00BB5D79">
        <w:rPr>
          <w:rFonts w:ascii="굴림" w:eastAsia="굴림" w:hAnsi="굴림" w:cs="굴림" w:hint="eastAsia"/>
          <w:color w:val="000000"/>
          <w:kern w:val="0"/>
          <w:sz w:val="24"/>
        </w:rPr>
        <w:t>存</w:t>
      </w:r>
      <w:r w:rsidRPr="00BB5D79">
        <w:rPr>
          <w:rFonts w:ascii="새굴림" w:eastAsia="새굴림" w:hAnsi="새굴림" w:cs="새굴림" w:hint="eastAsia"/>
          <w:color w:val="000000"/>
          <w:kern w:val="0"/>
          <w:sz w:val="24"/>
        </w:rPr>
        <w:t>档备查</w:t>
      </w:r>
      <w:r w:rsidRPr="00BB5D79">
        <w:rPr>
          <w:rFonts w:ascii="굴림" w:eastAsia="굴림" w:hAnsi="굴림" w:cs="굴림" w:hint="eastAsia"/>
          <w:color w:val="000000"/>
          <w:kern w:val="0"/>
          <w:sz w:val="24"/>
        </w:rPr>
        <w:t>。</w:t>
      </w:r>
    </w:p>
    <w:p w14:paraId="0E1362DF" w14:textId="77777777" w:rsidR="00BB5D79" w:rsidRPr="00BB5D79" w:rsidRDefault="00BB5D79" w:rsidP="00BB5D79">
      <w:pPr>
        <w:widowControl/>
        <w:spacing w:line="480" w:lineRule="atLeast"/>
        <w:jc w:val="left"/>
        <w:rPr>
          <w:rFonts w:ascii="굴림" w:eastAsia="굴림" w:hAnsi="굴림" w:cs="굴림"/>
          <w:color w:val="000000"/>
          <w:kern w:val="0"/>
          <w:sz w:val="24"/>
        </w:rPr>
      </w:pPr>
      <w:r w:rsidRPr="00BB5D79">
        <w:rPr>
          <w:rFonts w:ascii="굴림" w:eastAsia="굴림" w:hAnsi="굴림" w:cs="굴림"/>
          <w:color w:val="000000"/>
          <w:kern w:val="0"/>
          <w:sz w:val="24"/>
        </w:rPr>
        <w:t xml:space="preserve">　　二、</w:t>
      </w:r>
      <w:r w:rsidRPr="00BB5D79">
        <w:rPr>
          <w:rFonts w:ascii="새굴림" w:eastAsia="새굴림" w:hAnsi="새굴림" w:cs="새굴림" w:hint="eastAsia"/>
          <w:color w:val="000000"/>
          <w:kern w:val="0"/>
          <w:sz w:val="24"/>
        </w:rPr>
        <w:t>鉴</w:t>
      </w:r>
      <w:r w:rsidRPr="00BB5D79">
        <w:rPr>
          <w:rFonts w:ascii="굴림" w:eastAsia="굴림" w:hAnsi="굴림" w:cs="굴림" w:hint="eastAsia"/>
          <w:color w:val="000000"/>
          <w:kern w:val="0"/>
          <w:sz w:val="24"/>
        </w:rPr>
        <w:t>于化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w:t>
      </w:r>
      <w:r w:rsidRPr="00BB5D79">
        <w:rPr>
          <w:rFonts w:ascii="새굴림" w:eastAsia="새굴림" w:hAnsi="새굴림" w:cs="새굴림" w:hint="eastAsia"/>
          <w:color w:val="000000"/>
          <w:kern w:val="0"/>
          <w:sz w:val="24"/>
        </w:rPr>
        <w:t>研发</w:t>
      </w:r>
      <w:r w:rsidRPr="00BB5D79">
        <w:rPr>
          <w:rFonts w:ascii="굴림" w:eastAsia="굴림" w:hAnsi="굴림" w:cs="굴림" w:hint="eastAsia"/>
          <w:color w:val="000000"/>
          <w:kern w:val="0"/>
          <w:sz w:val="24"/>
        </w:rPr>
        <w:t>需要一定周期，</w:t>
      </w:r>
      <w:r w:rsidRPr="00BB5D79">
        <w:rPr>
          <w:rFonts w:ascii="새굴림" w:eastAsia="새굴림" w:hAnsi="새굴림" w:cs="새굴림" w:hint="eastAsia"/>
          <w:color w:val="000000"/>
          <w:kern w:val="0"/>
          <w:sz w:val="24"/>
        </w:rPr>
        <w:t>为</w:t>
      </w:r>
      <w:r w:rsidRPr="00BB5D79">
        <w:rPr>
          <w:rFonts w:ascii="굴림" w:eastAsia="굴림" w:hAnsi="굴림" w:cs="굴림" w:hint="eastAsia"/>
          <w:color w:val="000000"/>
          <w:kern w:val="0"/>
          <w:sz w:val="24"/>
        </w:rPr>
        <w:t>了避免企</w:t>
      </w:r>
      <w:r w:rsidRPr="00BB5D79">
        <w:rPr>
          <w:rFonts w:ascii="새굴림" w:eastAsia="새굴림" w:hAnsi="새굴림" w:cs="새굴림" w:hint="eastAsia"/>
          <w:color w:val="000000"/>
          <w:kern w:val="0"/>
          <w:sz w:val="24"/>
        </w:rPr>
        <w:t>业研发资</w:t>
      </w:r>
      <w:r w:rsidRPr="00BB5D79">
        <w:rPr>
          <w:rFonts w:ascii="굴림" w:eastAsia="굴림" w:hAnsi="굴림" w:cs="굴림" w:hint="eastAsia"/>
          <w:color w:val="000000"/>
          <w:kern w:val="0"/>
          <w:sz w:val="24"/>
        </w:rPr>
        <w:t>源重</w:t>
      </w:r>
      <w:r w:rsidRPr="00BB5D79">
        <w:rPr>
          <w:rFonts w:ascii="새굴림" w:eastAsia="새굴림" w:hAnsi="새굴림" w:cs="새굴림" w:hint="eastAsia"/>
          <w:color w:val="000000"/>
          <w:kern w:val="0"/>
          <w:sz w:val="24"/>
        </w:rPr>
        <w:t>复</w:t>
      </w:r>
      <w:r w:rsidRPr="00BB5D79">
        <w:rPr>
          <w:rFonts w:ascii="굴림" w:eastAsia="굴림" w:hAnsi="굴림" w:cs="굴림" w:hint="eastAsia"/>
          <w:color w:val="000000"/>
          <w:kern w:val="0"/>
          <w:sz w:val="24"/>
        </w:rPr>
        <w:t>投入，在</w:t>
      </w:r>
      <w:r w:rsidRPr="00BB5D79">
        <w:rPr>
          <w:rFonts w:ascii="굴림" w:eastAsia="굴림" w:hAnsi="굴림" w:cs="굴림"/>
          <w:color w:val="000000"/>
          <w:kern w:val="0"/>
          <w:sz w:val="24"/>
        </w:rPr>
        <w:t>2025年5月1日前，化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品注</w:t>
      </w:r>
      <w:r w:rsidRPr="00BB5D79">
        <w:rPr>
          <w:rFonts w:ascii="새굴림" w:eastAsia="새굴림" w:hAnsi="새굴림" w:cs="새굴림" w:hint="eastAsia"/>
          <w:color w:val="000000"/>
          <w:kern w:val="0"/>
          <w:sz w:val="24"/>
        </w:rPr>
        <w:t>册</w:t>
      </w:r>
      <w:r w:rsidRPr="00BB5D79">
        <w:rPr>
          <w:rFonts w:ascii="굴림" w:eastAsia="굴림" w:hAnsi="굴림" w:cs="굴림" w:hint="eastAsia"/>
          <w:color w:val="000000"/>
          <w:kern w:val="0"/>
          <w:sz w:val="24"/>
        </w:rPr>
        <w:t>人、</w:t>
      </w:r>
      <w:r w:rsidRPr="00BB5D79">
        <w:rPr>
          <w:rFonts w:ascii="새굴림" w:eastAsia="새굴림" w:hAnsi="새굴림" w:cs="새굴림" w:hint="eastAsia"/>
          <w:color w:val="000000"/>
          <w:kern w:val="0"/>
          <w:sz w:val="24"/>
        </w:rPr>
        <w:t>备</w:t>
      </w:r>
      <w:r w:rsidRPr="00BB5D79">
        <w:rPr>
          <w:rFonts w:ascii="굴림" w:eastAsia="굴림" w:hAnsi="굴림" w:cs="굴림" w:hint="eastAsia"/>
          <w:color w:val="000000"/>
          <w:kern w:val="0"/>
          <w:sz w:val="24"/>
        </w:rPr>
        <w:t>案人申</w:t>
      </w:r>
      <w:r w:rsidRPr="00BB5D79">
        <w:rPr>
          <w:rFonts w:ascii="새굴림" w:eastAsia="새굴림" w:hAnsi="새굴림" w:cs="새굴림" w:hint="eastAsia"/>
          <w:color w:val="000000"/>
          <w:kern w:val="0"/>
          <w:sz w:val="24"/>
        </w:rPr>
        <w:t>请</w:t>
      </w:r>
      <w:r w:rsidRPr="00BB5D79">
        <w:rPr>
          <w:rFonts w:ascii="굴림" w:eastAsia="굴림" w:hAnsi="굴림" w:cs="굴림" w:hint="eastAsia"/>
          <w:color w:val="000000"/>
          <w:kern w:val="0"/>
          <w:sz w:val="24"/>
        </w:rPr>
        <w:t>注</w:t>
      </w:r>
      <w:r w:rsidRPr="00BB5D79">
        <w:rPr>
          <w:rFonts w:ascii="새굴림" w:eastAsia="새굴림" w:hAnsi="새굴림" w:cs="새굴림" w:hint="eastAsia"/>
          <w:color w:val="000000"/>
          <w:kern w:val="0"/>
          <w:sz w:val="24"/>
        </w:rPr>
        <w:t>册</w:t>
      </w:r>
      <w:r w:rsidRPr="00BB5D79">
        <w:rPr>
          <w:rFonts w:ascii="굴림" w:eastAsia="굴림" w:hAnsi="굴림" w:cs="굴림" w:hint="eastAsia"/>
          <w:color w:val="000000"/>
          <w:kern w:val="0"/>
          <w:sz w:val="24"/>
        </w:rPr>
        <w:t>或者</w:t>
      </w:r>
      <w:r w:rsidRPr="00BB5D79">
        <w:rPr>
          <w:rFonts w:ascii="새굴림" w:eastAsia="새굴림" w:hAnsi="새굴림" w:cs="새굴림" w:hint="eastAsia"/>
          <w:color w:val="000000"/>
          <w:kern w:val="0"/>
          <w:sz w:val="24"/>
        </w:rPr>
        <w:t>进</w:t>
      </w:r>
      <w:r w:rsidRPr="00BB5D79">
        <w:rPr>
          <w:rFonts w:ascii="굴림" w:eastAsia="굴림" w:hAnsi="굴림" w:cs="굴림" w:hint="eastAsia"/>
          <w:color w:val="000000"/>
          <w:kern w:val="0"/>
          <w:sz w:val="24"/>
        </w:rPr>
        <w:t>行</w:t>
      </w:r>
      <w:r w:rsidRPr="00BB5D79">
        <w:rPr>
          <w:rFonts w:ascii="새굴림" w:eastAsia="새굴림" w:hAnsi="새굴림" w:cs="새굴림" w:hint="eastAsia"/>
          <w:color w:val="000000"/>
          <w:kern w:val="0"/>
          <w:sz w:val="24"/>
        </w:rPr>
        <w:t>备</w:t>
      </w:r>
      <w:r w:rsidRPr="00BB5D79">
        <w:rPr>
          <w:rFonts w:ascii="굴림" w:eastAsia="굴림" w:hAnsi="굴림" w:cs="굴림" w:hint="eastAsia"/>
          <w:color w:val="000000"/>
          <w:kern w:val="0"/>
          <w:sz w:val="24"/>
        </w:rPr>
        <w:t>案</w:t>
      </w:r>
      <w:r w:rsidRPr="00BB5D79">
        <w:rPr>
          <w:rFonts w:ascii="새굴림" w:eastAsia="새굴림" w:hAnsi="새굴림" w:cs="새굴림" w:hint="eastAsia"/>
          <w:color w:val="000000"/>
          <w:kern w:val="0"/>
          <w:sz w:val="24"/>
        </w:rPr>
        <w:t>时</w:t>
      </w:r>
      <w:r w:rsidRPr="00BB5D79">
        <w:rPr>
          <w:rFonts w:ascii="굴림" w:eastAsia="굴림" w:hAnsi="굴림" w:cs="굴림" w:hint="eastAsia"/>
          <w:color w:val="000000"/>
          <w:kern w:val="0"/>
          <w:sz w:val="24"/>
        </w:rPr>
        <w:t>仍可以提交符合《</w:t>
      </w:r>
      <w:r w:rsidRPr="00BB5D79">
        <w:rPr>
          <w:rFonts w:ascii="새굴림" w:eastAsia="새굴림" w:hAnsi="새굴림" w:cs="새굴림" w:hint="eastAsia"/>
          <w:color w:val="000000"/>
          <w:kern w:val="0"/>
          <w:sz w:val="24"/>
        </w:rPr>
        <w:t>导则</w:t>
      </w:r>
      <w:r w:rsidRPr="00BB5D79">
        <w:rPr>
          <w:rFonts w:ascii="굴림" w:eastAsia="굴림" w:hAnsi="굴림" w:cs="굴림" w:hint="eastAsia"/>
          <w:color w:val="000000"/>
          <w:kern w:val="0"/>
          <w:sz w:val="24"/>
        </w:rPr>
        <w:t>》</w:t>
      </w:r>
      <w:r w:rsidRPr="00BB5D79">
        <w:rPr>
          <w:rFonts w:ascii="굴림" w:eastAsia="굴림" w:hAnsi="굴림" w:cs="굴림"/>
          <w:color w:val="000000"/>
          <w:kern w:val="0"/>
          <w:sz w:val="24"/>
        </w:rPr>
        <w:br/>
        <w:t>要求的</w:t>
      </w:r>
      <w:r w:rsidRPr="00BB5D79">
        <w:rPr>
          <w:rFonts w:ascii="새굴림" w:eastAsia="새굴림" w:hAnsi="새굴림" w:cs="새굴림" w:hint="eastAsia"/>
          <w:color w:val="000000"/>
          <w:kern w:val="0"/>
          <w:sz w:val="24"/>
        </w:rPr>
        <w:t>简</w:t>
      </w:r>
      <w:r w:rsidRPr="00BB5D79">
        <w:rPr>
          <w:rFonts w:ascii="굴림" w:eastAsia="굴림" w:hAnsi="굴림" w:cs="굴림" w:hint="eastAsia"/>
          <w:color w:val="000000"/>
          <w:kern w:val="0"/>
          <w:sz w:val="24"/>
        </w:rPr>
        <w:t>化版安全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w:t>
      </w:r>
      <w:r w:rsidRPr="00BB5D79">
        <w:rPr>
          <w:rFonts w:ascii="새굴림" w:eastAsia="새굴림" w:hAnsi="새굴림" w:cs="새굴림" w:hint="eastAsia"/>
          <w:color w:val="000000"/>
          <w:kern w:val="0"/>
          <w:sz w:val="24"/>
        </w:rPr>
        <w:t>报</w:t>
      </w:r>
      <w:r w:rsidRPr="00BB5D79">
        <w:rPr>
          <w:rFonts w:ascii="굴림" w:eastAsia="굴림" w:hAnsi="굴림" w:cs="굴림" w:hint="eastAsia"/>
          <w:color w:val="000000"/>
          <w:kern w:val="0"/>
          <w:sz w:val="24"/>
        </w:rPr>
        <w:t>告。</w:t>
      </w:r>
    </w:p>
    <w:p w14:paraId="4DFA842D" w14:textId="55687928" w:rsidR="00BB5D79" w:rsidRPr="00BB5D79" w:rsidRDefault="00BB5D79" w:rsidP="00BB5D79">
      <w:pPr>
        <w:widowControl/>
        <w:spacing w:line="480" w:lineRule="atLeast"/>
        <w:jc w:val="left"/>
        <w:rPr>
          <w:rFonts w:ascii="굴림" w:eastAsia="굴림" w:hAnsi="굴림" w:cs="굴림"/>
          <w:color w:val="000000"/>
          <w:kern w:val="0"/>
          <w:sz w:val="24"/>
        </w:rPr>
      </w:pPr>
      <w:r w:rsidRPr="00BB5D79">
        <w:rPr>
          <w:rFonts w:ascii="굴림" w:eastAsia="굴림" w:hAnsi="굴림" w:cs="굴림"/>
          <w:color w:val="000000"/>
          <w:kern w:val="0"/>
          <w:sz w:val="24"/>
        </w:rPr>
        <w:t xml:space="preserve">　　特此公告。</w:t>
      </w:r>
    </w:p>
    <w:p w14:paraId="3F70DD89" w14:textId="38BA0232" w:rsidR="00BB5D79" w:rsidRPr="00BB5D79" w:rsidRDefault="00BB5D79" w:rsidP="00BB5D79">
      <w:pPr>
        <w:widowControl/>
        <w:spacing w:line="480" w:lineRule="atLeast"/>
        <w:jc w:val="left"/>
        <w:rPr>
          <w:rFonts w:ascii="굴림" w:eastAsia="굴림" w:hAnsi="굴림" w:cs="굴림"/>
          <w:color w:val="000000"/>
          <w:kern w:val="0"/>
          <w:sz w:val="24"/>
        </w:rPr>
      </w:pPr>
      <w:r w:rsidRPr="00BB5D79">
        <w:rPr>
          <w:rFonts w:ascii="굴림" w:eastAsia="굴림" w:hAnsi="굴림" w:cs="굴림"/>
          <w:color w:val="000000"/>
          <w:kern w:val="0"/>
          <w:sz w:val="24"/>
        </w:rPr>
        <w:t xml:space="preserve">　　附件：</w:t>
      </w:r>
      <w:r w:rsidRPr="00BB5D79">
        <w:rPr>
          <w:rFonts w:ascii="새굴림" w:eastAsia="새굴림" w:hAnsi="새굴림" w:cs="새굴림" w:hint="eastAsia"/>
          <w:color w:val="000000"/>
          <w:kern w:val="0"/>
          <w:sz w:val="24"/>
        </w:rPr>
        <w:t>优</w:t>
      </w:r>
      <w:r w:rsidRPr="00BB5D79">
        <w:rPr>
          <w:rFonts w:ascii="굴림" w:eastAsia="굴림" w:hAnsi="굴림" w:cs="굴림" w:hint="eastAsia"/>
          <w:color w:val="000000"/>
          <w:kern w:val="0"/>
          <w:sz w:val="24"/>
        </w:rPr>
        <w:t>化化</w:t>
      </w:r>
      <w:r w:rsidRPr="00BB5D79">
        <w:rPr>
          <w:rFonts w:ascii="새굴림" w:eastAsia="새굴림" w:hAnsi="새굴림" w:cs="새굴림" w:hint="eastAsia"/>
          <w:color w:val="000000"/>
          <w:kern w:val="0"/>
          <w:sz w:val="24"/>
        </w:rPr>
        <w:t>妆</w:t>
      </w:r>
      <w:r w:rsidRPr="00BB5D79">
        <w:rPr>
          <w:rFonts w:ascii="굴림" w:eastAsia="굴림" w:hAnsi="굴림" w:cs="굴림" w:hint="eastAsia"/>
          <w:color w:val="000000"/>
          <w:kern w:val="0"/>
          <w:sz w:val="24"/>
        </w:rPr>
        <w:t>品安全</w:t>
      </w:r>
      <w:r w:rsidRPr="00BB5D79">
        <w:rPr>
          <w:rFonts w:ascii="새굴림" w:eastAsia="새굴림" w:hAnsi="새굴림" w:cs="새굴림" w:hint="eastAsia"/>
          <w:color w:val="000000"/>
          <w:kern w:val="0"/>
          <w:sz w:val="24"/>
        </w:rPr>
        <w:t>评</w:t>
      </w:r>
      <w:r w:rsidRPr="00BB5D79">
        <w:rPr>
          <w:rFonts w:ascii="굴림" w:eastAsia="굴림" w:hAnsi="굴림" w:cs="굴림" w:hint="eastAsia"/>
          <w:color w:val="000000"/>
          <w:kern w:val="0"/>
          <w:sz w:val="24"/>
        </w:rPr>
        <w:t>估管理若干措施</w:t>
      </w:r>
    </w:p>
    <w:p w14:paraId="67EF9D1F" w14:textId="77777777" w:rsidR="00BB5D79" w:rsidRPr="00BB5D79" w:rsidRDefault="00BB5D79" w:rsidP="00BB5D79">
      <w:pPr>
        <w:widowControl/>
        <w:spacing w:line="480" w:lineRule="atLeast"/>
        <w:jc w:val="right"/>
        <w:rPr>
          <w:rFonts w:ascii="굴림" w:eastAsia="굴림" w:hAnsi="굴림" w:cs="굴림"/>
          <w:color w:val="000000"/>
          <w:kern w:val="0"/>
          <w:sz w:val="24"/>
        </w:rPr>
      </w:pPr>
      <w:r w:rsidRPr="00BB5D79">
        <w:rPr>
          <w:rFonts w:ascii="굴림" w:eastAsia="굴림" w:hAnsi="굴림" w:cs="굴림"/>
          <w:color w:val="000000"/>
          <w:kern w:val="0"/>
          <w:sz w:val="24"/>
        </w:rPr>
        <w:t>                            </w:t>
      </w:r>
      <w:r w:rsidRPr="00BB5D79">
        <w:rPr>
          <w:rFonts w:ascii="새굴림" w:eastAsia="새굴림" w:hAnsi="새굴림" w:cs="새굴림" w:hint="eastAsia"/>
          <w:color w:val="000000"/>
          <w:kern w:val="0"/>
          <w:sz w:val="24"/>
        </w:rPr>
        <w:t>国</w:t>
      </w:r>
      <w:r w:rsidRPr="00BB5D79">
        <w:rPr>
          <w:rFonts w:ascii="굴림" w:eastAsia="굴림" w:hAnsi="굴림" w:cs="굴림" w:hint="eastAsia"/>
          <w:color w:val="000000"/>
          <w:kern w:val="0"/>
          <w:sz w:val="24"/>
        </w:rPr>
        <w:t>家</w:t>
      </w:r>
      <w:r w:rsidRPr="00BB5D79">
        <w:rPr>
          <w:rFonts w:ascii="새굴림" w:eastAsia="새굴림" w:hAnsi="새굴림" w:cs="새굴림" w:hint="eastAsia"/>
          <w:color w:val="000000"/>
          <w:kern w:val="0"/>
          <w:sz w:val="24"/>
        </w:rPr>
        <w:t>药监</w:t>
      </w:r>
      <w:r w:rsidRPr="00BB5D79">
        <w:rPr>
          <w:rFonts w:ascii="굴림" w:eastAsia="굴림" w:hAnsi="굴림" w:cs="굴림" w:hint="eastAsia"/>
          <w:color w:val="000000"/>
          <w:kern w:val="0"/>
          <w:sz w:val="24"/>
        </w:rPr>
        <w:t>局</w:t>
      </w:r>
    </w:p>
    <w:p w14:paraId="6E6B8B9F" w14:textId="77777777" w:rsidR="00BB5D79" w:rsidRPr="00BB5D79" w:rsidRDefault="00BB5D79" w:rsidP="00BB5D79">
      <w:pPr>
        <w:widowControl/>
        <w:spacing w:line="480" w:lineRule="atLeast"/>
        <w:jc w:val="right"/>
        <w:rPr>
          <w:rFonts w:ascii="굴림" w:eastAsia="굴림" w:hAnsi="굴림" w:cs="굴림"/>
          <w:color w:val="000000"/>
          <w:kern w:val="0"/>
          <w:sz w:val="24"/>
        </w:rPr>
      </w:pPr>
      <w:r w:rsidRPr="00BB5D79">
        <w:rPr>
          <w:rFonts w:ascii="굴림" w:eastAsia="굴림" w:hAnsi="굴림" w:cs="굴림"/>
          <w:color w:val="000000"/>
          <w:kern w:val="0"/>
          <w:sz w:val="24"/>
        </w:rPr>
        <w:t xml:space="preserve">　　                          2024年4月22日</w:t>
      </w:r>
    </w:p>
    <w:p w14:paraId="364BD1EA" w14:textId="77777777" w:rsidR="00544303" w:rsidRDefault="00544303">
      <w:pPr>
        <w:widowControl/>
        <w:jc w:val="left"/>
        <w:rPr>
          <w:rFonts w:ascii="Times New Roman" w:eastAsia="SimHei" w:hAnsi="Times New Roman"/>
          <w:sz w:val="32"/>
          <w:szCs w:val="32"/>
        </w:rPr>
      </w:pPr>
      <w:r>
        <w:rPr>
          <w:rFonts w:ascii="Times New Roman" w:eastAsia="SimHei" w:hAnsi="Times New Roman"/>
          <w:sz w:val="32"/>
          <w:szCs w:val="32"/>
        </w:rPr>
        <w:br w:type="page"/>
      </w:r>
    </w:p>
    <w:p w14:paraId="628E66EF" w14:textId="1600C32A" w:rsidR="00890EB3" w:rsidRDefault="00743C2F">
      <w:pPr>
        <w:spacing w:line="580" w:lineRule="exact"/>
        <w:rPr>
          <w:rFonts w:ascii="Times New Roman" w:eastAsia="SimHei" w:hAnsi="Times New Roman"/>
          <w:sz w:val="32"/>
          <w:szCs w:val="32"/>
        </w:rPr>
      </w:pPr>
      <w:r>
        <w:rPr>
          <w:rFonts w:ascii="Times New Roman" w:eastAsia="SimHei" w:hAnsi="Times New Roman"/>
          <w:sz w:val="32"/>
          <w:szCs w:val="32"/>
        </w:rPr>
        <w:lastRenderedPageBreak/>
        <w:t>附</w:t>
      </w:r>
      <w:r>
        <w:rPr>
          <w:rFonts w:ascii="Times New Roman" w:eastAsia="SimHei" w:hAnsi="Times New Roman" w:hint="eastAsia"/>
          <w:sz w:val="32"/>
          <w:szCs w:val="32"/>
        </w:rPr>
        <w:t>件</w:t>
      </w:r>
    </w:p>
    <w:p w14:paraId="0C0FD6CA" w14:textId="77777777" w:rsidR="00890EB3" w:rsidRDefault="00890EB3">
      <w:pPr>
        <w:spacing w:line="580" w:lineRule="exact"/>
        <w:ind w:firstLineChars="200" w:firstLine="640"/>
        <w:rPr>
          <w:rFonts w:ascii="Times New Roman" w:eastAsia="SimHei" w:hAnsi="Times New Roman"/>
          <w:sz w:val="32"/>
          <w:szCs w:val="32"/>
        </w:rPr>
      </w:pPr>
    </w:p>
    <w:p w14:paraId="56AFAF71" w14:textId="77777777" w:rsidR="00890EB3" w:rsidRDefault="00743C2F">
      <w:pPr>
        <w:spacing w:line="580" w:lineRule="exact"/>
        <w:jc w:val="center"/>
        <w:rPr>
          <w:rFonts w:ascii="Times New Roman" w:eastAsia="方正小标宋简体" w:hAnsi="Times New Roman"/>
          <w:sz w:val="32"/>
          <w:szCs w:val="32"/>
        </w:rPr>
      </w:pPr>
      <w:r>
        <w:rPr>
          <w:rFonts w:ascii="Times New Roman" w:eastAsia="方正小标宋简体" w:hAnsi="Times New Roman"/>
          <w:sz w:val="44"/>
          <w:szCs w:val="44"/>
        </w:rPr>
        <w:t>优化化妆品安全评估管理若干措施</w:t>
      </w:r>
    </w:p>
    <w:p w14:paraId="2CEA5466" w14:textId="77777777" w:rsidR="00890EB3" w:rsidRDefault="00890EB3">
      <w:pPr>
        <w:spacing w:line="580" w:lineRule="exact"/>
        <w:ind w:firstLineChars="200" w:firstLine="640"/>
        <w:rPr>
          <w:rFonts w:ascii="Times New Roman" w:eastAsia="FangSong_GB2312" w:hAnsi="Times New Roman"/>
          <w:sz w:val="32"/>
          <w:szCs w:val="32"/>
        </w:rPr>
      </w:pPr>
    </w:p>
    <w:p w14:paraId="34B4986F"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FangSong_GB2312" w:hAnsi="Times New Roman"/>
          <w:sz w:val="32"/>
          <w:szCs w:val="32"/>
        </w:rPr>
        <w:t>为引导化妆品行业提升化妆品安全评估能力和水平，规范开展化妆品安全评估工作，推进化妆品安全评估制度有序实施，依据《化妆品监督管理条例》《化妆品注册备案管理办法》</w:t>
      </w:r>
      <w:r>
        <w:rPr>
          <w:rFonts w:ascii="Times New Roman" w:eastAsia="FangSong_GB2312" w:hAnsi="Times New Roman"/>
          <w:kern w:val="0"/>
          <w:sz w:val="32"/>
          <w:szCs w:val="32"/>
          <w:lang w:bidi="ar"/>
        </w:rPr>
        <w:t>《化妆品安全评估技术导则（</w:t>
      </w:r>
      <w:r>
        <w:rPr>
          <w:rFonts w:ascii="Times New Roman" w:eastAsia="FangSong_GB2312" w:hAnsi="Times New Roman"/>
          <w:kern w:val="0"/>
          <w:sz w:val="32"/>
          <w:szCs w:val="32"/>
          <w:lang w:bidi="ar"/>
        </w:rPr>
        <w:t>2021</w:t>
      </w:r>
      <w:r>
        <w:rPr>
          <w:rFonts w:ascii="Times New Roman" w:eastAsia="FangSong_GB2312" w:hAnsi="Times New Roman"/>
          <w:kern w:val="0"/>
          <w:sz w:val="32"/>
          <w:szCs w:val="32"/>
          <w:lang w:bidi="ar"/>
        </w:rPr>
        <w:t>年版）》（以下简称《导则》）</w:t>
      </w:r>
      <w:r>
        <w:rPr>
          <w:rFonts w:ascii="Times New Roman" w:eastAsia="FangSong_GB2312" w:hAnsi="Times New Roman"/>
          <w:sz w:val="32"/>
          <w:szCs w:val="32"/>
        </w:rPr>
        <w:t>等法规规章，特制定以下若干措施。</w:t>
      </w:r>
    </w:p>
    <w:p w14:paraId="0F48A9D4" w14:textId="77777777" w:rsidR="00890EB3" w:rsidRPr="009B5DB0" w:rsidRDefault="00743C2F">
      <w:pPr>
        <w:spacing w:line="580" w:lineRule="exact"/>
        <w:ind w:firstLineChars="200" w:firstLine="640"/>
        <w:rPr>
          <w:rFonts w:ascii="Times New Roman" w:eastAsia="맑은 고딕" w:hAnsi="Times New Roman" w:hint="eastAsia"/>
          <w:sz w:val="32"/>
          <w:szCs w:val="32"/>
          <w:lang w:eastAsia="ko-KR"/>
        </w:rPr>
      </w:pPr>
      <w:r>
        <w:rPr>
          <w:rFonts w:ascii="Times New Roman" w:eastAsia="SimHei" w:hAnsi="Times New Roman"/>
          <w:sz w:val="32"/>
          <w:szCs w:val="32"/>
        </w:rPr>
        <w:t>一、加强技术指导，提升化妆品安全评估能力</w:t>
      </w:r>
    </w:p>
    <w:p w14:paraId="71A7D2C6" w14:textId="77777777" w:rsidR="00890EB3" w:rsidRDefault="00743C2F">
      <w:pPr>
        <w:numPr>
          <w:ilvl w:val="0"/>
          <w:numId w:val="1"/>
        </w:numPr>
        <w:spacing w:line="580" w:lineRule="exact"/>
        <w:ind w:firstLineChars="200" w:firstLine="640"/>
        <w:rPr>
          <w:rFonts w:ascii="Times New Roman" w:eastAsia="FangSong_GB2312" w:hAnsi="Times New Roman"/>
          <w:sz w:val="32"/>
          <w:szCs w:val="32"/>
        </w:rPr>
      </w:pPr>
      <w:r>
        <w:rPr>
          <w:rFonts w:ascii="Times New Roman" w:eastAsia="FangSong_GB2312" w:hAnsi="Times New Roman"/>
          <w:sz w:val="32"/>
          <w:szCs w:val="32"/>
        </w:rPr>
        <w:t>制定发布交叉参照、毒理学关注阈值、整合策略等相关技术指南，明确方法的适用范围和评估程序，提高方法适用性和操作性，通过示例参考等多种形式，提升化妆品企业安全评估相关方法的应用能力。</w:t>
      </w:r>
    </w:p>
    <w:p w14:paraId="4E4DEEF0" w14:textId="77777777" w:rsidR="00890EB3" w:rsidRDefault="00743C2F">
      <w:pPr>
        <w:numPr>
          <w:ilvl w:val="0"/>
          <w:numId w:val="1"/>
        </w:numPr>
        <w:spacing w:line="580" w:lineRule="exact"/>
        <w:ind w:firstLineChars="200" w:firstLine="640"/>
        <w:rPr>
          <w:rFonts w:ascii="Times New Roman" w:eastAsia="FangSong_GB2312" w:hAnsi="Times New Roman"/>
          <w:sz w:val="32"/>
          <w:szCs w:val="32"/>
        </w:rPr>
      </w:pPr>
      <w:r>
        <w:rPr>
          <w:rFonts w:ascii="Times New Roman" w:eastAsia="FangSong_GB2312" w:hAnsi="Times New Roman"/>
          <w:sz w:val="32"/>
          <w:szCs w:val="32"/>
        </w:rPr>
        <w:t>制定发布化妆品安全风险物质识别与评估技术指南，指导化妆品企业对化妆品中可能存在的安全性风险物质进行危害识别与评估，提高化妆品原料风险识别、风险分析和风险防控水平。</w:t>
      </w:r>
    </w:p>
    <w:p w14:paraId="1ED45484" w14:textId="77777777" w:rsidR="00890EB3" w:rsidRDefault="00743C2F">
      <w:pPr>
        <w:numPr>
          <w:ilvl w:val="0"/>
          <w:numId w:val="1"/>
        </w:numPr>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制定发布理化稳定性测试、防腐剂挑战测试、包材相容性测试评估等相关技术指南，为化妆品企业开展相关测试或者评估提供参考。化妆品企业可以依据国家标准、技术规范、行业标准、国际标准、技术指南或者企业自建方法对产品稳定性、防</w:t>
      </w:r>
      <w:r>
        <w:rPr>
          <w:rFonts w:ascii="Times New Roman" w:eastAsia="FangSong_GB2312" w:hAnsi="Times New Roman" w:hint="eastAsia"/>
          <w:sz w:val="32"/>
          <w:szCs w:val="32"/>
        </w:rPr>
        <w:lastRenderedPageBreak/>
        <w:t>腐体系、包材相容性等开展相关研究，并在安全评估报告中提交相关测试或者评估结论。</w:t>
      </w:r>
    </w:p>
    <w:p w14:paraId="52BB11EF" w14:textId="77777777" w:rsidR="00890EB3" w:rsidRDefault="00743C2F">
      <w:pPr>
        <w:numPr>
          <w:ilvl w:val="0"/>
          <w:numId w:val="2"/>
        </w:numPr>
        <w:spacing w:line="580" w:lineRule="exact"/>
        <w:ind w:firstLineChars="200" w:firstLine="640"/>
        <w:rPr>
          <w:rFonts w:ascii="Times New Roman" w:eastAsia="SimHei" w:hAnsi="Times New Roman"/>
          <w:sz w:val="32"/>
          <w:szCs w:val="32"/>
        </w:rPr>
      </w:pPr>
      <w:r>
        <w:rPr>
          <w:rFonts w:ascii="Times New Roman" w:eastAsia="SimHei" w:hAnsi="Times New Roman"/>
          <w:sz w:val="32"/>
          <w:szCs w:val="32"/>
        </w:rPr>
        <w:t>整合原料数据资源，提高原料数据使用便利性</w:t>
      </w:r>
    </w:p>
    <w:p w14:paraId="6DABF0B0"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四）制定发布化妆品原料数据使用指南，指导化妆品企业根据《导则》要求，遵循证据权重原则，使用《化妆品安全技术规范》、国际权威机构评估数据、已上市产品原料使用历史等不同类型的化妆品原料数据开展安全评估。</w:t>
      </w:r>
    </w:p>
    <w:p w14:paraId="783D7B3B"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五）整合发布化妆品原料安全评估相关的数据信息。收集、整理、发布国际权威化妆品安全评估数据索引，以及已上市产品的原料使用信息，逐步完善化妆品原料信息数据库，为化妆品企业开展安全评估提供参考依据。</w:t>
      </w:r>
    </w:p>
    <w:p w14:paraId="69AD8AD4"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（六）</w:t>
      </w:r>
      <w:r>
        <w:rPr>
          <w:rFonts w:ascii="Times New Roman" w:eastAsia="FangSong_GB2312" w:hAnsi="Times New Roman"/>
          <w:sz w:val="32"/>
          <w:szCs w:val="32"/>
        </w:rPr>
        <w:t>构建和完善原料数据共享平台。指导化妆品行业权威组织协调化妆品原料企业和化妆品企业共享原料安全性信息，按照国际通行的方法开展化妆品原料安全评估，</w:t>
      </w:r>
      <w:r>
        <w:rPr>
          <w:rFonts w:ascii="Times New Roman" w:eastAsia="FangSong_GB2312" w:hAnsi="Times New Roman" w:hint="eastAsia"/>
          <w:sz w:val="32"/>
          <w:szCs w:val="32"/>
        </w:rPr>
        <w:t>逐步构建面向全行业的化妆品原料数据共享平台。</w:t>
      </w:r>
    </w:p>
    <w:p w14:paraId="41B3E5B8" w14:textId="77777777" w:rsidR="00890EB3" w:rsidRDefault="00743C2F">
      <w:pPr>
        <w:spacing w:line="580" w:lineRule="exact"/>
        <w:ind w:firstLineChars="200" w:firstLine="640"/>
        <w:rPr>
          <w:rFonts w:ascii="Times New Roman" w:eastAsia="SimHei" w:hAnsi="Times New Roman"/>
          <w:sz w:val="32"/>
          <w:szCs w:val="32"/>
        </w:rPr>
      </w:pPr>
      <w:r>
        <w:rPr>
          <w:rFonts w:ascii="Times New Roman" w:eastAsia="SimHei" w:hAnsi="Times New Roman"/>
          <w:sz w:val="32"/>
          <w:szCs w:val="32"/>
        </w:rPr>
        <w:t>三、创新评估报告管理机制，促进产品上市提质增速</w:t>
      </w:r>
    </w:p>
    <w:p w14:paraId="2D80A39B" w14:textId="77777777" w:rsidR="00890EB3" w:rsidRDefault="00743C2F">
      <w:pPr>
        <w:adjustRightInd w:val="0"/>
        <w:snapToGrid w:val="0"/>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（七）建立安全评估报告分类提交制度。参照国际通行规则，基于风险管理原则，结合产品、企业质量管理</w:t>
      </w:r>
      <w:r>
        <w:rPr>
          <w:rFonts w:eastAsia="FangSong_GB2312" w:hint="eastAsia"/>
          <w:sz w:val="32"/>
          <w:szCs w:val="32"/>
        </w:rPr>
        <w:t>等</w:t>
      </w:r>
      <w:r>
        <w:rPr>
          <w:rFonts w:ascii="Times New Roman" w:eastAsia="FangSong_GB2312" w:hAnsi="Times New Roman" w:hint="eastAsia"/>
          <w:sz w:val="32"/>
          <w:szCs w:val="32"/>
        </w:rPr>
        <w:t>情况，制定发布化妆品安全评估资料提交指南，对安全评估报告提交的情形进行分类，允许部分符合条件的普通化妆品提交安全评估基本结论，安全评估报告由化妆品企业存档备查。</w:t>
      </w:r>
    </w:p>
    <w:p w14:paraId="3B112A08"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（八）</w:t>
      </w:r>
      <w:r>
        <w:rPr>
          <w:rFonts w:ascii="Times New Roman" w:eastAsia="FangSong_GB2312" w:hAnsi="Times New Roman"/>
          <w:sz w:val="32"/>
          <w:szCs w:val="32"/>
        </w:rPr>
        <w:t>明确</w:t>
      </w:r>
      <w:r>
        <w:rPr>
          <w:rFonts w:ascii="Times New Roman" w:eastAsia="FangSong_GB2312" w:hAnsi="Times New Roman" w:hint="eastAsia"/>
          <w:sz w:val="32"/>
          <w:szCs w:val="32"/>
        </w:rPr>
        <w:t>化妆品终</w:t>
      </w:r>
      <w:r>
        <w:rPr>
          <w:rFonts w:ascii="Times New Roman" w:eastAsia="FangSong_GB2312" w:hAnsi="Times New Roman"/>
          <w:sz w:val="32"/>
          <w:szCs w:val="32"/>
        </w:rPr>
        <w:t>产品</w:t>
      </w:r>
      <w:r>
        <w:rPr>
          <w:rFonts w:ascii="Times New Roman" w:eastAsia="FangSong_GB2312" w:hAnsi="Times New Roman" w:hint="eastAsia"/>
          <w:sz w:val="32"/>
          <w:szCs w:val="32"/>
        </w:rPr>
        <w:t>安全性测试</w:t>
      </w:r>
      <w:r>
        <w:rPr>
          <w:rFonts w:ascii="Times New Roman" w:eastAsia="FangSong_GB2312" w:hAnsi="Times New Roman"/>
          <w:sz w:val="32"/>
          <w:szCs w:val="32"/>
        </w:rPr>
        <w:t>的适用原则</w:t>
      </w:r>
      <w:r>
        <w:rPr>
          <w:rFonts w:ascii="Times New Roman" w:eastAsia="FangSong_GB2312" w:hAnsi="Times New Roman" w:hint="eastAsia"/>
          <w:sz w:val="32"/>
          <w:szCs w:val="32"/>
        </w:rPr>
        <w:t>，指导化妆</w:t>
      </w:r>
      <w:r>
        <w:rPr>
          <w:rFonts w:ascii="Times New Roman" w:eastAsia="FangSong_GB2312" w:hAnsi="Times New Roman" w:hint="eastAsia"/>
          <w:sz w:val="32"/>
          <w:szCs w:val="32"/>
        </w:rPr>
        <w:lastRenderedPageBreak/>
        <w:t>品企业在缺少个别原料安全数据的情况下，对满足相关要求的化妆品终产品开展安全性测试，将其结果作为产品安全性评价的参考依据</w:t>
      </w:r>
      <w:r>
        <w:rPr>
          <w:rFonts w:ascii="Times New Roman" w:eastAsia="FangSong_GB2312" w:hAnsi="Times New Roman"/>
          <w:sz w:val="32"/>
          <w:szCs w:val="32"/>
        </w:rPr>
        <w:t>。</w:t>
      </w:r>
    </w:p>
    <w:p w14:paraId="1C863BA4"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SimHei" w:hAnsi="Times New Roman"/>
          <w:sz w:val="32"/>
          <w:szCs w:val="32"/>
        </w:rPr>
        <w:t>四、推动安全评估体系建设，提高产品安全保障水平</w:t>
      </w:r>
    </w:p>
    <w:p w14:paraId="64AAC809" w14:textId="77777777" w:rsidR="00890EB3" w:rsidRDefault="00743C2F">
      <w:pPr>
        <w:spacing w:line="580" w:lineRule="exact"/>
        <w:ind w:firstLineChars="200" w:firstLine="640"/>
        <w:rPr>
          <w:rFonts w:ascii="Times New Roman" w:eastAsia="FangSong_GB2312" w:hAnsi="Times New Roman"/>
          <w:sz w:val="32"/>
          <w:szCs w:val="32"/>
          <w:lang w:bidi="ar"/>
        </w:rPr>
      </w:pPr>
      <w:r>
        <w:rPr>
          <w:rFonts w:ascii="Times New Roman" w:eastAsia="FangSong_GB2312" w:hAnsi="Times New Roman" w:hint="eastAsia"/>
          <w:sz w:val="32"/>
          <w:szCs w:val="32"/>
          <w:lang w:bidi="ar"/>
        </w:rPr>
        <w:t>（九）强化安全评估相关基础建设。加强化妆品监管科学研究，</w:t>
      </w:r>
      <w:r>
        <w:rPr>
          <w:rFonts w:ascii="Times New Roman" w:eastAsia="FangSong_GB2312" w:hAnsi="Times New Roman" w:hint="eastAsia"/>
          <w:sz w:val="32"/>
          <w:szCs w:val="32"/>
          <w:lang w:val="en"/>
        </w:rPr>
        <w:t>充分调动社会各方技术力量，</w:t>
      </w:r>
      <w:r>
        <w:rPr>
          <w:rFonts w:ascii="Times New Roman" w:eastAsia="FangSong_GB2312" w:hAnsi="Times New Roman" w:hint="eastAsia"/>
          <w:sz w:val="32"/>
          <w:szCs w:val="32"/>
          <w:lang w:bidi="ar"/>
        </w:rPr>
        <w:t>重点研究化妆品安全评估的基础性、前沿性、创新性技术支撑，加强新技术、新方法和新标准的转化应用，不断提高化妆品安全评估的科学性和规范性。</w:t>
      </w:r>
    </w:p>
    <w:p w14:paraId="06C8E9B9" w14:textId="77777777" w:rsidR="00890EB3" w:rsidRDefault="00743C2F">
      <w:pPr>
        <w:spacing w:line="580" w:lineRule="exact"/>
        <w:ind w:firstLineChars="200" w:firstLine="640"/>
        <w:rPr>
          <w:rFonts w:ascii="Times New Roman" w:eastAsia="FangSong_GB2312" w:hAnsi="Times New Roman"/>
          <w:sz w:val="32"/>
          <w:szCs w:val="32"/>
          <w:lang w:bidi="ar"/>
        </w:rPr>
      </w:pPr>
      <w:r>
        <w:rPr>
          <w:rFonts w:ascii="Times New Roman" w:eastAsia="FangSong_GB2312" w:hAnsi="Times New Roman" w:hint="eastAsia"/>
          <w:sz w:val="32"/>
          <w:szCs w:val="32"/>
          <w:lang w:bidi="ar"/>
        </w:rPr>
        <w:t>（十）</w:t>
      </w:r>
      <w:r>
        <w:rPr>
          <w:rFonts w:ascii="Times New Roman" w:eastAsia="FangSong_GB2312" w:hAnsi="Times New Roman" w:hint="eastAsia"/>
          <w:sz w:val="32"/>
          <w:szCs w:val="32"/>
        </w:rPr>
        <w:t>落实化妆品企业对产品全生命周期的管理责任。引导化妆品企业构建并持续完善安全评估体系，强化产品上市前安全评估，持续完善质量管理体系，做好产品上市后不良反应监测和安全再评估，提升产品质量安全保障能力。</w:t>
      </w:r>
    </w:p>
    <w:p w14:paraId="64BB19A0" w14:textId="77777777" w:rsidR="00890EB3" w:rsidRDefault="00743C2F">
      <w:pPr>
        <w:spacing w:line="5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十一）支持化妆品安全评估学科建设和专业人才队伍培养。鼓励高校设置化妆品安全评估相关课程，健全专业人才培养体系。组织编写培训教材，开展化妆品安全评估法规和实操培训，推动建立安全评估员制度。</w:t>
      </w:r>
      <w:r>
        <w:rPr>
          <w:rFonts w:ascii="Times New Roman" w:eastAsia="FangSong_GB2312" w:hAnsi="Times New Roman" w:hint="eastAsia"/>
          <w:sz w:val="32"/>
          <w:szCs w:val="32"/>
        </w:rPr>
        <w:t xml:space="preserve"> </w:t>
      </w:r>
    </w:p>
    <w:p w14:paraId="78D2EA89" w14:textId="77777777" w:rsidR="00890EB3" w:rsidRDefault="00743C2F">
      <w:pPr>
        <w:pStyle w:val="1"/>
        <w:spacing w:line="580" w:lineRule="exact"/>
        <w:ind w:firstLine="640"/>
        <w:rPr>
          <w:rFonts w:ascii="Times New Roman" w:eastAsia="FangSong_GB2312" w:hAnsi="Times New Roman"/>
          <w:sz w:val="32"/>
          <w:szCs w:val="32"/>
        </w:rPr>
      </w:pPr>
      <w:r>
        <w:rPr>
          <w:rFonts w:ascii="Times New Roman" w:eastAsia="FangSong_GB2312" w:hAnsi="Times New Roman" w:hint="eastAsia"/>
          <w:sz w:val="32"/>
          <w:szCs w:val="32"/>
        </w:rPr>
        <w:t>（十二）加强化妆品安全评估工作交流与技术合作。构建化妆品安全评估相关沟通交流机制，搭建与行业协会、化妆品企业、化妆品原料企业、安全评估机构、专家学者等各方沟通平台，推动安全评估体系持续完善。</w:t>
      </w:r>
    </w:p>
    <w:p w14:paraId="4E7C7AB0" w14:textId="77777777" w:rsidR="00743C2F" w:rsidRDefault="00743C2F"/>
    <w:sectPr w:rsidR="00743C2F">
      <w:footerReference w:type="even" r:id="rId7"/>
      <w:footerReference w:type="default" r:id="rId8"/>
      <w:pgSz w:w="11906" w:h="16838"/>
      <w:pgMar w:top="1928" w:right="1531" w:bottom="1701" w:left="1531" w:header="851"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C346" w14:textId="77777777" w:rsidR="00D02A48" w:rsidRDefault="00D02A48">
      <w:r>
        <w:separator/>
      </w:r>
    </w:p>
  </w:endnote>
  <w:endnote w:type="continuationSeparator" w:id="0">
    <w:p w14:paraId="322FAD14" w14:textId="77777777" w:rsidR="00D02A48" w:rsidRDefault="00D0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FangSong">
    <w:altName w:val="仿宋"/>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새굴림">
    <w:panose1 w:val="02030600000101010101"/>
    <w:charset w:val="81"/>
    <w:family w:val="roman"/>
    <w:pitch w:val="variable"/>
    <w:sig w:usb0="B00002AF" w:usb1="7B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FangSong_GB2312">
    <w:altName w:val="仿宋_GB2312"/>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1C31" w14:textId="77777777" w:rsidR="00890EB3" w:rsidRDefault="00743C2F">
    <w:pPr>
      <w:pStyle w:val="a3"/>
      <w:framePr w:wrap="around" w:vAnchor="text" w:hAnchor="margin" w:xAlign="outside" w:y="1"/>
      <w:rPr>
        <w:rStyle w:val="a4"/>
        <w:sz w:val="28"/>
        <w:szCs w:val="28"/>
      </w:rPr>
    </w:pPr>
    <w:r>
      <w:rPr>
        <w:rStyle w:val="a4"/>
        <w:rFonts w:hint="eastAsia"/>
        <w:color w:val="FFFFFF"/>
        <w:sz w:val="28"/>
        <w:szCs w:val="28"/>
      </w:rPr>
      <w:t>—</w:t>
    </w: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r>
      <w:rPr>
        <w:rStyle w:val="a4"/>
        <w:rFonts w:hint="eastAsia"/>
        <w:sz w:val="28"/>
        <w:szCs w:val="28"/>
      </w:rPr>
      <w:t xml:space="preserve"> </w:t>
    </w:r>
  </w:p>
  <w:p w14:paraId="18DE3BA0" w14:textId="77777777" w:rsidR="00890EB3" w:rsidRDefault="00890EB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5C48" w14:textId="77777777" w:rsidR="00890EB3" w:rsidRDefault="00743C2F">
    <w:pPr>
      <w:pStyle w:val="a3"/>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665625" w:rsidRPr="00665625">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FF8C" w14:textId="77777777" w:rsidR="00D02A48" w:rsidRDefault="00D02A48">
      <w:r>
        <w:separator/>
      </w:r>
    </w:p>
  </w:footnote>
  <w:footnote w:type="continuationSeparator" w:id="0">
    <w:p w14:paraId="3CCF7B3B" w14:textId="77777777" w:rsidR="00D02A48" w:rsidRDefault="00D0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F83A4"/>
    <w:multiLevelType w:val="singleLevel"/>
    <w:tmpl w:val="9E1F83A4"/>
    <w:lvl w:ilvl="0">
      <w:start w:val="1"/>
      <w:numFmt w:val="chineseCounting"/>
      <w:suff w:val="nothing"/>
      <w:lvlText w:val="（%1）"/>
      <w:lvlJc w:val="left"/>
      <w:pPr>
        <w:ind w:left="0" w:firstLine="420"/>
      </w:pPr>
      <w:rPr>
        <w:rFonts w:hint="eastAsia"/>
      </w:rPr>
    </w:lvl>
  </w:abstractNum>
  <w:abstractNum w:abstractNumId="1" w15:restartNumberingAfterBreak="0">
    <w:nsid w:val="1BF9D05F"/>
    <w:multiLevelType w:val="singleLevel"/>
    <w:tmpl w:val="1BF9D05F"/>
    <w:lvl w:ilvl="0">
      <w:start w:val="2"/>
      <w:numFmt w:val="chineseCounting"/>
      <w:suff w:val="nothing"/>
      <w:lvlText w:val="%1、"/>
      <w:lvlJc w:val="left"/>
      <w:rPr>
        <w:rFonts w:hint="eastAsia"/>
      </w:rPr>
    </w:lvl>
  </w:abstractNum>
  <w:num w:numId="1" w16cid:durableId="963342434">
    <w:abstractNumId w:val="0"/>
  </w:num>
  <w:num w:numId="2" w16cid:durableId="62111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lYjdkNjMwNWJmNGNhMjM2YjBlMDY3MzUxYjQ2OWYifQ=="/>
  </w:docVars>
  <w:rsids>
    <w:rsidRoot w:val="00DA554D"/>
    <w:rsid w:val="00544303"/>
    <w:rsid w:val="00665625"/>
    <w:rsid w:val="00743C2F"/>
    <w:rsid w:val="00890EB3"/>
    <w:rsid w:val="009B5DB0"/>
    <w:rsid w:val="00A4438C"/>
    <w:rsid w:val="00BB5D79"/>
    <w:rsid w:val="00D02A48"/>
    <w:rsid w:val="00DA554D"/>
    <w:rsid w:val="0E586AB3"/>
    <w:rsid w:val="2FFEEDB5"/>
    <w:rsid w:val="34094278"/>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6A723"/>
  <w15:chartTrackingRefBased/>
  <w15:docId w15:val="{9C53A69B-2B3E-477C-8D68-5D82BD6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link w:val="2Char"/>
    <w:uiPriority w:val="9"/>
    <w:qFormat/>
    <w:rsid w:val="00BB5D79"/>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character" w:styleId="a4">
    <w:name w:val="page number"/>
    <w:basedOn w:val="a0"/>
  </w:style>
  <w:style w:type="paragraph" w:customStyle="1" w:styleId="1">
    <w:name w:val="样式1"/>
    <w:basedOn w:val="a"/>
    <w:qFormat/>
    <w:pPr>
      <w:ind w:firstLineChars="200" w:firstLine="602"/>
    </w:pPr>
    <w:rPr>
      <w:rFonts w:ascii="FangSong" w:eastAsia="FangSong" w:hAnsi="FangSong"/>
      <w:sz w:val="30"/>
      <w:szCs w:val="30"/>
    </w:rPr>
  </w:style>
  <w:style w:type="paragraph" w:styleId="a5">
    <w:name w:val="header"/>
    <w:basedOn w:val="a"/>
    <w:link w:val="Char"/>
    <w:rsid w:val="00DA554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5"/>
    <w:rsid w:val="00DA554D"/>
    <w:rPr>
      <w:rFonts w:ascii="Calibri" w:hAnsi="Calibri"/>
      <w:kern w:val="2"/>
      <w:sz w:val="18"/>
      <w:szCs w:val="18"/>
    </w:rPr>
  </w:style>
  <w:style w:type="character" w:customStyle="1" w:styleId="2Char">
    <w:name w:val="제목 2 Char"/>
    <w:basedOn w:val="a0"/>
    <w:link w:val="2"/>
    <w:uiPriority w:val="9"/>
    <w:rsid w:val="00BB5D79"/>
    <w:rPr>
      <w:rFonts w:ascii="굴림" w:eastAsia="굴림" w:hAnsi="굴림" w:cs="굴림"/>
      <w:b/>
      <w:bCs/>
      <w:sz w:val="36"/>
      <w:szCs w:val="36"/>
      <w:lang w:eastAsia="ko-KR"/>
    </w:rPr>
  </w:style>
  <w:style w:type="character" w:styleId="a6">
    <w:name w:val="Hyperlink"/>
    <w:basedOn w:val="a0"/>
    <w:uiPriority w:val="99"/>
    <w:unhideWhenUsed/>
    <w:rsid w:val="00BB5D79"/>
    <w:rPr>
      <w:color w:val="0000FF"/>
      <w:u w:val="single"/>
    </w:rPr>
  </w:style>
  <w:style w:type="paragraph" w:styleId="a7">
    <w:name w:val="Normal (Web)"/>
    <w:basedOn w:val="a"/>
    <w:uiPriority w:val="99"/>
    <w:unhideWhenUsed/>
    <w:rsid w:val="00BB5D79"/>
    <w:pPr>
      <w:widowControl/>
      <w:spacing w:before="100" w:beforeAutospacing="1" w:after="100" w:afterAutospacing="1"/>
      <w:jc w:val="left"/>
    </w:pPr>
    <w:rPr>
      <w:rFonts w:ascii="굴림" w:eastAsia="굴림" w:hAnsi="굴림" w:cs="굴림"/>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93923">
      <w:bodyDiv w:val="1"/>
      <w:marLeft w:val="0"/>
      <w:marRight w:val="0"/>
      <w:marTop w:val="0"/>
      <w:marBottom w:val="0"/>
      <w:divBdr>
        <w:top w:val="none" w:sz="0" w:space="0" w:color="auto"/>
        <w:left w:val="none" w:sz="0" w:space="0" w:color="auto"/>
        <w:bottom w:val="none" w:sz="0" w:space="0" w:color="auto"/>
        <w:right w:val="none" w:sz="0" w:space="0" w:color="auto"/>
      </w:divBdr>
      <w:divsChild>
        <w:div w:id="980229890">
          <w:marLeft w:val="0"/>
          <w:marRight w:val="0"/>
          <w:marTop w:val="0"/>
          <w:marBottom w:val="0"/>
          <w:divBdr>
            <w:top w:val="none" w:sz="0" w:space="0" w:color="auto"/>
            <w:left w:val="none" w:sz="0" w:space="0" w:color="auto"/>
            <w:bottom w:val="none" w:sz="0" w:space="0" w:color="auto"/>
            <w:right w:val="none" w:sz="0" w:space="0" w:color="auto"/>
          </w:divBdr>
        </w:div>
        <w:div w:id="424348653">
          <w:marLeft w:val="0"/>
          <w:marRight w:val="0"/>
          <w:marTop w:val="0"/>
          <w:marBottom w:val="0"/>
          <w:divBdr>
            <w:top w:val="single" w:sz="6" w:space="6" w:color="989898"/>
            <w:left w:val="none" w:sz="0" w:space="0" w:color="auto"/>
            <w:bottom w:val="none" w:sz="0" w:space="0" w:color="auto"/>
            <w:right w:val="none" w:sz="0" w:space="0" w:color="auto"/>
          </w:divBdr>
        </w:div>
        <w:div w:id="5314593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290</Words>
  <Characters>1656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관리자 대한화장품협회</cp:lastModifiedBy>
  <cp:revision>4</cp:revision>
  <dcterms:created xsi:type="dcterms:W3CDTF">2024-04-22T09:26:00Z</dcterms:created>
  <dcterms:modified xsi:type="dcterms:W3CDTF">2024-04-23T04:46:00Z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7E7FE570451849BAAE532C1FD8B4C8E0_12</vt:lpwstr>
  </property>
</Properties>
</file>