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50900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585" w:lineRule="atLeast"/>
        <w:jc w:val="center"/>
        <w:outlineLvl w:val="1"/>
        <w:rPr>
          <w:rFonts w:ascii="Microsoft YaHei" w:eastAsia="Microsoft YaHei" w:hAnsi="Microsoft YaHei" w:cs="굴림"/>
          <w:color w:val="333333"/>
          <w:kern w:val="0"/>
          <w:sz w:val="39"/>
          <w:szCs w:val="39"/>
          <w:lang w:eastAsia="zh-CN"/>
          <w14:ligatures w14:val="none"/>
        </w:rPr>
      </w:pPr>
      <w:r w:rsidRPr="00C95E37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  <w14:ligatures w14:val="none"/>
        </w:rPr>
        <w:t>化妆品新原料常见技术问答（二）</w:t>
      </w:r>
    </w:p>
    <w:p w14:paraId="06F777D0" w14:textId="77777777" w:rsidR="00C95E37" w:rsidRDefault="00C95E37" w:rsidP="00C95E37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eastAsia="Microsoft YaHei" w:hAnsi="Microsoft YaHei" w:cs="굴림"/>
          <w:color w:val="919191"/>
          <w:kern w:val="0"/>
          <w:sz w:val="21"/>
          <w:szCs w:val="21"/>
          <w:lang w:eastAsia="zh-CN"/>
          <w14:ligatures w14:val="none"/>
        </w:rPr>
      </w:pPr>
    </w:p>
    <w:p w14:paraId="24B7382B" w14:textId="09BBDC1A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  <w:lang w:eastAsia="zh-CN"/>
          <w14:ligatures w14:val="none"/>
        </w:rPr>
      </w:pPr>
      <w:r w:rsidRPr="00C95E37"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  <w:lang w:eastAsia="zh-CN"/>
          <w14:ligatures w14:val="none"/>
        </w:rPr>
        <w:t>发布时间：2024-07-08</w:t>
      </w:r>
    </w:p>
    <w:p w14:paraId="23F28411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一、毒理学方法选择有何要求？</w:t>
      </w:r>
    </w:p>
    <w:p w14:paraId="29C14DBA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根据《化妆品新原料注册备案资料管理规定》，新原料毒理学试验项目应当按照《化妆品安全技术规范》规定的试验方法开展。《化妆品安全技术规范》未规定方法的项目，应当按照国家标准或国际通行方法进行检验。</w:t>
      </w:r>
    </w:p>
    <w:p w14:paraId="77CFB255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使用动物替代方法进行毒理学安全性评价的，应当根据原料的结构特点、特定的毒理学终点选择合适的整合测试和评估方法（IATA）评价新原料的毒性。所用动物替代试验方法尚未收录于我国《化妆品安全技术规范》的，该项替代试验方法应当为国际权威替代方法验证机构已收录的方法，且应当同时提交该方法能准确预测该毒理学终点的证明资料。证明资料应当包括该项替代试验方法研究过程简述和不少于10种已知毒性受试物的研究数据、结果分析、研究结论等内容。</w:t>
      </w:r>
    </w:p>
    <w:p w14:paraId="75F957F1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二、开展毒理学试验时，受试物有何要求？</w:t>
      </w:r>
    </w:p>
    <w:p w14:paraId="79AFBC7F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为充分提示新原料可能存在的安全风险，应以注册备案新原料为研究对象，开展相应的毒理学试验。如新原料的实际商品化销售形式为其稀释溶液，也应以新原料为研究对象，不应直接以商品化稀释溶液为研究对象开展毒理学试验。开展毒理学试验时，受试物形式、剂量水平等应符合相关方法要求，充分反映新原料物质本身的毒性情况。</w:t>
      </w:r>
    </w:p>
    <w:p w14:paraId="65DF4F64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三、如何结合原料“适用和使用范围”开展暴露评估？</w:t>
      </w:r>
    </w:p>
    <w:p w14:paraId="42F5A7E3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根据《化妆品安全评估技术导则》，进行暴露评估时，应考虑含该原料或风险物质产品的使用部位、使用量、浓度、使用频率以及持续时间等因素。因此，应结合新原料“适用和使用范围”，进行新原料的暴露评估和风险评估。例如，对于“适用和</w:t>
      </w:r>
      <w:r w:rsidRPr="00C95E37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lastRenderedPageBreak/>
        <w:t>使用范围”为“各类肤用化妆品”的新原料，应基于各类产品总暴露量进行分析和评估，并考虑吸入风险等，而非针对几类产品分别评估。</w:t>
      </w:r>
    </w:p>
    <w:p w14:paraId="65369344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四、如何对原料的吸入毒性相关风险开展安全评估？</w:t>
      </w:r>
    </w:p>
    <w:p w14:paraId="79BC95CE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根据《化妆品安全评估技术导则》，有吸入暴露可能时，需考虑吸入暴露引起的健康危害效应；根据《化妆品新原料注册备案资料管理规定》，原料有可能吸入暴露时，应开展吸入毒性试验。吸入暴露风险评估既要考虑原料本身的理化性质，又要结合原料在化妆品中使用时的产品剂型、使用方法等因素。对于未预期用于可能存在吸入暴露风险产品的新原料，新原料注册人、备案人应在新原料“适用和使用范围”中予以明确（例如注明“不得用于可能存在吸入暴露风险的产品”）。</w:t>
      </w:r>
    </w:p>
    <w:p w14:paraId="52CBF493" w14:textId="77777777" w:rsidR="00C95E37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五、应如何对新原料中可能存在的风险物质进行识别和评估？</w:t>
      </w:r>
    </w:p>
    <w:p w14:paraId="6327F84E" w14:textId="53A2058D" w:rsidR="007B5828" w:rsidRPr="00C95E37" w:rsidRDefault="00C95E37" w:rsidP="00C95E37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C95E37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新原料中的风险物质可能来源于起始物料、生产过程以及储存、使用过程等，应结合相关信息和研究数据充分分析。在新原料注册备案资料的生产工艺中，应结合反应原理、制备工艺、实际生产过程等，列明具体起始物料、使用的溶剂或助剂、反应过程的中间产物和副产物等。结合新原料特性和稳定性试验数据等，应全面分析在储存、使用过程中可能出现的降解产物等。在此基础上，识别新原料中可能存在的安全性风险物质，说明控制措施，并在安全评估报告中进行分析和评估。</w:t>
      </w:r>
    </w:p>
    <w:sectPr w:rsidR="007B5828" w:rsidRPr="00C95E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123DD" w14:textId="77777777" w:rsidR="00A15FB1" w:rsidRDefault="00A15FB1" w:rsidP="00B65311">
      <w:pPr>
        <w:spacing w:after="0" w:line="240" w:lineRule="auto"/>
      </w:pPr>
      <w:r>
        <w:separator/>
      </w:r>
    </w:p>
  </w:endnote>
  <w:endnote w:type="continuationSeparator" w:id="0">
    <w:p w14:paraId="66C25379" w14:textId="77777777" w:rsidR="00A15FB1" w:rsidRDefault="00A15FB1" w:rsidP="00B65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8036D" w14:textId="77777777" w:rsidR="00A15FB1" w:rsidRDefault="00A15FB1" w:rsidP="00B65311">
      <w:pPr>
        <w:spacing w:after="0" w:line="240" w:lineRule="auto"/>
      </w:pPr>
      <w:r>
        <w:separator/>
      </w:r>
    </w:p>
  </w:footnote>
  <w:footnote w:type="continuationSeparator" w:id="0">
    <w:p w14:paraId="442FD79F" w14:textId="77777777" w:rsidR="00A15FB1" w:rsidRDefault="00A15FB1" w:rsidP="00B65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2B"/>
    <w:rsid w:val="003B4276"/>
    <w:rsid w:val="003E6EBE"/>
    <w:rsid w:val="006D7C2B"/>
    <w:rsid w:val="007A379B"/>
    <w:rsid w:val="007B5828"/>
    <w:rsid w:val="009462DE"/>
    <w:rsid w:val="00A15FB1"/>
    <w:rsid w:val="00B65311"/>
    <w:rsid w:val="00C95E37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D3341"/>
  <w15:chartTrackingRefBased/>
  <w15:docId w15:val="{32EC29C6-CAD7-44FA-817D-2046E57B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B6531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3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65311"/>
  </w:style>
  <w:style w:type="paragraph" w:styleId="a4">
    <w:name w:val="footer"/>
    <w:basedOn w:val="a"/>
    <w:link w:val="Char0"/>
    <w:uiPriority w:val="99"/>
    <w:unhideWhenUsed/>
    <w:rsid w:val="00B653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65311"/>
  </w:style>
  <w:style w:type="character" w:customStyle="1" w:styleId="2Char">
    <w:name w:val="제목 2 Char"/>
    <w:basedOn w:val="a0"/>
    <w:link w:val="2"/>
    <w:uiPriority w:val="9"/>
    <w:rsid w:val="00B65311"/>
    <w:rPr>
      <w:rFonts w:ascii="굴림" w:eastAsia="굴림" w:hAnsi="굴림" w:cs="굴림"/>
      <w:b/>
      <w:bCs/>
      <w:kern w:val="0"/>
      <w:sz w:val="36"/>
      <w:szCs w:val="36"/>
      <w14:ligatures w14:val="none"/>
    </w:rPr>
  </w:style>
  <w:style w:type="paragraph" w:styleId="a5">
    <w:name w:val="Normal (Web)"/>
    <w:basedOn w:val="a"/>
    <w:uiPriority w:val="99"/>
    <w:semiHidden/>
    <w:unhideWhenUsed/>
    <w:rsid w:val="00B6531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character" w:styleId="a6">
    <w:name w:val="Strong"/>
    <w:basedOn w:val="a0"/>
    <w:uiPriority w:val="22"/>
    <w:qFormat/>
    <w:rsid w:val="00B65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9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989898"/>
            <w:right w:val="none" w:sz="0" w:space="0" w:color="auto"/>
          </w:divBdr>
        </w:div>
        <w:div w:id="12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989898"/>
            <w:right w:val="none" w:sz="0" w:space="0" w:color="auto"/>
          </w:divBdr>
        </w:div>
        <w:div w:id="15355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3</cp:revision>
  <dcterms:created xsi:type="dcterms:W3CDTF">2024-07-09T02:02:00Z</dcterms:created>
  <dcterms:modified xsi:type="dcterms:W3CDTF">2024-07-09T02:09:00Z</dcterms:modified>
</cp:coreProperties>
</file>