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14FE" w:rsidRDefault="00BC14FE" w14:paraId="6B3EEE65" w14:textId="77777777">
      <w:pPr>
        <w:widowControl w:val="0"/>
        <w:pBdr>
          <w:top w:val="nil"/>
          <w:left w:val="nil"/>
          <w:bottom w:val="nil"/>
          <w:right w:val="nil"/>
          <w:between w:val="nil"/>
        </w:pBdr>
        <w:spacing w:before="0"/>
        <w:rPr>
          <w:sz w:val="12"/>
          <w:szCs w:val="12"/>
        </w:rPr>
      </w:pPr>
    </w:p>
    <w:tbl>
      <w:tblPr>
        <w:tblStyle w:val="a"/>
        <w:tblW w:w="10080" w:type="dxa"/>
        <w:tblLayout w:type="fixed"/>
        <w:tblLook w:val="0600" w:firstRow="0" w:lastRow="0" w:firstColumn="0" w:lastColumn="0" w:noHBand="1" w:noVBand="1"/>
      </w:tblPr>
      <w:tblGrid>
        <w:gridCol w:w="3525"/>
        <w:gridCol w:w="6555"/>
      </w:tblGrid>
      <w:tr w:rsidR="00BC14FE" w14:paraId="09C573C5" w14:textId="77777777">
        <w:trPr>
          <w:trHeight w:val="2400"/>
        </w:trPr>
        <w:tc>
          <w:tcPr>
            <w:tcW w:w="3525" w:type="dxa"/>
            <w:tcBorders>
              <w:top w:val="nil"/>
              <w:left w:val="nil"/>
              <w:bottom w:val="nil"/>
              <w:right w:val="nil"/>
            </w:tcBorders>
            <w:shd w:val="clear" w:color="auto" w:fill="auto"/>
            <w:tcMar>
              <w:top w:w="72" w:type="dxa"/>
              <w:left w:w="72" w:type="dxa"/>
              <w:bottom w:w="72" w:type="dxa"/>
              <w:right w:w="72" w:type="dxa"/>
            </w:tcMar>
          </w:tcPr>
          <w:p w:rsidRPr="003F400F" w:rsidR="00BC14FE" w:rsidRDefault="003F400F" w14:paraId="5CBAC490" w14:textId="4452E726">
            <w:pPr>
              <w:pStyle w:val="Title"/>
              <w:widowControl w:val="0"/>
              <w:pBdr>
                <w:top w:val="nil"/>
                <w:left w:val="nil"/>
                <w:bottom w:val="nil"/>
                <w:right w:val="nil"/>
                <w:between w:val="nil"/>
              </w:pBdr>
              <w:spacing w:before="0"/>
              <w:rPr>
                <w:rFonts w:hint="eastAsia" w:eastAsiaTheme="minorEastAsia"/>
              </w:rPr>
            </w:pPr>
            <w:bookmarkStart w:name="_4prkjmzco10w" w:colFirst="0" w:colLast="0" w:id="0"/>
            <w:bookmarkEnd w:id="0"/>
            <w:r w:rsidRPr="003F400F">
              <w:rPr>
                <w:rFonts w:hint="eastAsia" w:eastAsiaTheme="minorEastAsia"/>
                <w:sz w:val="44"/>
                <w:szCs w:val="44"/>
              </w:rPr>
              <w:t>Baker McKenzie US LLP</w:t>
            </w:r>
          </w:p>
          <w:p w:rsidR="00BC14FE" w:rsidRDefault="00BC14FE" w14:paraId="0413A3E1" w14:textId="77777777">
            <w:pPr>
              <w:pStyle w:val="Subtitle"/>
              <w:keepNext w:val="0"/>
              <w:keepLines w:val="0"/>
              <w:widowControl w:val="0"/>
              <w:pBdr>
                <w:top w:val="nil"/>
                <w:left w:val="nil"/>
                <w:bottom w:val="nil"/>
                <w:right w:val="nil"/>
                <w:between w:val="nil"/>
              </w:pBdr>
            </w:pPr>
            <w:bookmarkStart w:name="_o2iwx3vdck7p" w:colFirst="0" w:colLast="0" w:id="1"/>
            <w:bookmarkEnd w:id="1"/>
          </w:p>
        </w:tc>
        <w:tc>
          <w:tcPr>
            <w:tcW w:w="6554" w:type="dxa"/>
            <w:tcBorders>
              <w:top w:val="nil"/>
              <w:left w:val="nil"/>
              <w:bottom w:val="nil"/>
              <w:right w:val="nil"/>
            </w:tcBorders>
            <w:shd w:val="clear" w:color="auto" w:fill="auto"/>
            <w:tcMar>
              <w:top w:w="100" w:type="dxa"/>
              <w:left w:w="100" w:type="dxa"/>
              <w:bottom w:w="100" w:type="dxa"/>
              <w:right w:w="100" w:type="dxa"/>
            </w:tcMar>
          </w:tcPr>
          <w:p w:rsidR="00BC14FE" w:rsidRDefault="00000000" w14:paraId="0082A0DF" w14:textId="77777777">
            <w:pPr>
              <w:widowControl w:val="0"/>
              <w:pBdr>
                <w:top w:val="nil"/>
                <w:left w:val="nil"/>
                <w:bottom w:val="nil"/>
                <w:right w:val="nil"/>
                <w:between w:val="nil"/>
              </w:pBdr>
              <w:spacing w:before="0" w:line="240" w:lineRule="auto"/>
              <w:rPr>
                <w:sz w:val="20"/>
                <w:szCs w:val="20"/>
              </w:rPr>
            </w:pPr>
            <w:r>
              <w:rPr>
                <w:noProof/>
                <w:sz w:val="20"/>
                <w:szCs w:val="20"/>
              </w:rPr>
              <w:drawing>
                <wp:inline distT="114300" distB="114300" distL="114300" distR="114300" wp14:anchorId="7E6DF554" wp14:editId="5B699CF6">
                  <wp:extent cx="3981450" cy="25400"/>
                  <wp:effectExtent l="0" t="0" r="0" b="0"/>
                  <wp:docPr id="1" name="image1.png" descr="" title=""/>
                  <wp:cNvGraphicFramePr/>
                  <a:graphic xmlns:a="http://schemas.openxmlformats.org/drawingml/2006/main">
                    <a:graphicData uri="http://schemas.openxmlformats.org/drawingml/2006/picture">
                      <pic:pic xmlns:pic="http://schemas.openxmlformats.org/drawingml/2006/picture">
                        <pic:nvPicPr>
                          <pic:cNvPr id="0" name="image1.png" descr="가로선"/>
                          <pic:cNvPicPr preferRelativeResize="0"/>
                        </pic:nvPicPr>
                        <pic:blipFill>
                          <a:blip r:embed="rId5"/>
                          <a:srcRect/>
                          <a:stretch>
                            <a:fillRect/>
                          </a:stretch>
                        </pic:blipFill>
                        <pic:spPr>
                          <a:xfrm>
                            <a:off x="0" y="0"/>
                            <a:ext cx="3981450" cy="25400"/>
                          </a:xfrm>
                          <a:prstGeom prst="rect">
                            <a:avLst/>
                          </a:prstGeom>
                          <a:ln/>
                        </pic:spPr>
                      </pic:pic>
                    </a:graphicData>
                  </a:graphic>
                </wp:inline>
              </w:drawing>
            </w:r>
          </w:p>
          <w:p w:rsidR="00BC14FE" w:rsidRDefault="003F400F" w14:paraId="2E622BFB" w14:textId="6F9A13E4">
            <w:pPr>
              <w:pStyle w:val="Heading1"/>
              <w:keepNext w:val="0"/>
              <w:keepLines w:val="0"/>
              <w:widowControl w:val="0"/>
              <w:pBdr>
                <w:top w:val="nil"/>
                <w:left w:val="nil"/>
                <w:bottom w:val="nil"/>
                <w:right w:val="nil"/>
                <w:between w:val="nil"/>
              </w:pBdr>
              <w:spacing w:before="120"/>
            </w:pPr>
            <w:bookmarkStart w:name="_lf5wiiqsu4ub" w:colFirst="0" w:colLast="0" w:id="2"/>
            <w:bookmarkEnd w:id="2"/>
            <w:r w:rsidRPr="003F400F">
              <w:rPr>
                <w:rFonts w:hint="eastAsia"/>
              </w:rPr>
              <w:t>https://www.bakermckenzie.com/en/</w:t>
            </w:r>
          </w:p>
          <w:p w:rsidR="00BC14FE" w:rsidRDefault="003F400F" w14:paraId="736CC686" w14:textId="30E575C5">
            <w:pPr>
              <w:widowControl w:val="0"/>
              <w:pBdr>
                <w:top w:val="nil"/>
                <w:left w:val="nil"/>
                <w:bottom w:val="nil"/>
                <w:right w:val="nil"/>
                <w:between w:val="nil"/>
              </w:pBdr>
              <w:spacing w:before="0" w:line="240" w:lineRule="auto"/>
              <w:rPr>
                <w:rFonts w:hint="eastAsia"/>
                <w:sz w:val="20"/>
                <w:szCs w:val="20"/>
              </w:rPr>
            </w:pPr>
            <w:r>
              <w:rPr>
                <w:rFonts w:hint="eastAsia"/>
                <w:sz w:val="20"/>
                <w:szCs w:val="20"/>
              </w:rPr>
              <w:t>Washignton DC</w:t>
            </w:r>
          </w:p>
          <w:p w:rsidR="00BC14FE" w:rsidRDefault="00000000" w14:paraId="2F08F61C" w14:textId="0BDC7DB0">
            <w:pPr>
              <w:widowControl w:val="0"/>
              <w:pBdr>
                <w:top w:val="nil"/>
                <w:left w:val="nil"/>
                <w:bottom w:val="nil"/>
                <w:right w:val="nil"/>
                <w:between w:val="nil"/>
              </w:pBdr>
              <w:spacing w:before="200" w:line="240" w:lineRule="auto"/>
              <w:rPr>
                <w:color w:val="D44500"/>
                <w:sz w:val="20"/>
                <w:szCs w:val="20"/>
              </w:rPr>
            </w:pPr>
            <w:r>
              <w:rPr>
                <w:color w:val="D44500"/>
                <w:sz w:val="20"/>
                <w:szCs w:val="20"/>
              </w:rPr>
              <w:t xml:space="preserve">+1 </w:t>
            </w:r>
            <w:r w:rsidRPr="003F400F" w:rsidR="003F400F">
              <w:rPr>
                <w:rFonts w:hint="eastAsia"/>
                <w:color w:val="D44500"/>
                <w:sz w:val="20"/>
                <w:szCs w:val="20"/>
              </w:rPr>
              <w:t>202 835 1890</w:t>
            </w:r>
          </w:p>
          <w:p w:rsidR="00BC14FE" w:rsidRDefault="003F400F" w14:paraId="05D64FF1" w14:textId="0D8AADAE">
            <w:pPr>
              <w:widowControl w:val="0"/>
              <w:pBdr>
                <w:top w:val="nil"/>
                <w:left w:val="nil"/>
                <w:bottom w:val="nil"/>
                <w:right w:val="nil"/>
                <w:between w:val="nil"/>
              </w:pBdr>
              <w:spacing w:before="0" w:line="240" w:lineRule="auto"/>
              <w:rPr>
                <w:color w:val="D44500"/>
                <w:sz w:val="20"/>
                <w:szCs w:val="20"/>
              </w:rPr>
            </w:pPr>
            <w:hyperlink w:history="1" r:id="rId6">
              <w:r w:rsidRPr="00DD1A71">
                <w:rPr>
                  <w:rStyle w:val="Hyperlink"/>
                  <w:rFonts w:hint="eastAsia"/>
                </w:rPr>
                <w:t>xin.tao@bakermckenzie.com</w:t>
              </w:r>
            </w:hyperlink>
            <w:r>
              <w:rPr>
                <w:rFonts w:hint="eastAsia"/>
              </w:rPr>
              <w:t xml:space="preserve"> </w:t>
            </w:r>
          </w:p>
        </w:tc>
      </w:tr>
      <w:tr w:rsidR="00BC14FE" w14:paraId="2064E6DF" w14:textId="77777777">
        <w:trPr>
          <w:trHeight w:val="1440"/>
        </w:trPr>
        <w:tc>
          <w:tcPr>
            <w:tcW w:w="3525" w:type="dxa"/>
            <w:tcBorders>
              <w:top w:val="nil"/>
              <w:left w:val="nil"/>
              <w:bottom w:val="nil"/>
              <w:right w:val="nil"/>
            </w:tcBorders>
            <w:shd w:val="clear" w:color="auto" w:fill="auto"/>
            <w:tcMar>
              <w:top w:w="72" w:type="dxa"/>
              <w:left w:w="72" w:type="dxa"/>
              <w:bottom w:w="72" w:type="dxa"/>
              <w:right w:w="72" w:type="dxa"/>
            </w:tcMar>
          </w:tcPr>
          <w:p w:rsidR="00BC14FE" w:rsidRDefault="00000000" w14:paraId="76F70E47" w14:textId="77777777">
            <w:pPr>
              <w:widowControl w:val="0"/>
              <w:pBdr>
                <w:top w:val="nil"/>
                <w:left w:val="nil"/>
                <w:bottom w:val="nil"/>
                <w:right w:val="nil"/>
                <w:between w:val="nil"/>
              </w:pBdr>
              <w:spacing w:before="0" w:line="240" w:lineRule="auto"/>
              <w:rPr>
                <w:b/>
                <w:sz w:val="20"/>
                <w:szCs w:val="20"/>
              </w:rPr>
            </w:pPr>
            <w:r>
              <w:rPr>
                <w:rFonts w:ascii="Arial Unicode MS" w:hAnsi="Arial Unicode MS" w:eastAsia="Arial Unicode MS" w:cs="Arial Unicode MS"/>
                <w:b/>
                <w:sz w:val="28"/>
                <w:szCs w:val="28"/>
              </w:rPr>
              <w:t>ㅡ</w:t>
            </w:r>
          </w:p>
          <w:p w:rsidR="00BC14FE" w:rsidRDefault="00000000" w14:paraId="7EEB9F18" w14:textId="77777777">
            <w:pPr>
              <w:pStyle w:val="Heading1"/>
              <w:keepNext w:val="0"/>
              <w:keepLines w:val="0"/>
              <w:widowControl w:val="0"/>
              <w:pBdr>
                <w:top w:val="nil"/>
                <w:left w:val="nil"/>
                <w:bottom w:val="nil"/>
                <w:right w:val="nil"/>
                <w:between w:val="nil"/>
              </w:pBdr>
            </w:pPr>
            <w:bookmarkStart w:name="_61e3cm1p1fln" w:colFirst="0" w:colLast="0" w:id="3"/>
            <w:bookmarkEnd w:id="3"/>
            <w:r>
              <w:t>CONTACT INFORMATION</w:t>
            </w:r>
          </w:p>
        </w:tc>
        <w:tc>
          <w:tcPr>
            <w:tcW w:w="6554" w:type="dxa"/>
            <w:tcBorders>
              <w:top w:val="nil"/>
              <w:left w:val="nil"/>
              <w:bottom w:val="nil"/>
              <w:right w:val="nil"/>
            </w:tcBorders>
            <w:shd w:val="clear" w:color="auto" w:fill="auto"/>
            <w:tcMar>
              <w:top w:w="100" w:type="dxa"/>
              <w:left w:w="100" w:type="dxa"/>
              <w:bottom w:w="100" w:type="dxa"/>
              <w:right w:w="100" w:type="dxa"/>
            </w:tcMar>
          </w:tcPr>
          <w:p w:rsidR="00BC14FE" w:rsidRDefault="00000000" w14:paraId="30434BBD" w14:textId="77777777">
            <w:pPr>
              <w:widowControl w:val="0"/>
              <w:pBdr>
                <w:top w:val="nil"/>
                <w:left w:val="nil"/>
                <w:bottom w:val="nil"/>
                <w:right w:val="nil"/>
                <w:between w:val="nil"/>
              </w:pBdr>
              <w:spacing w:before="0"/>
              <w:rPr>
                <w:sz w:val="20"/>
                <w:szCs w:val="20"/>
              </w:rPr>
            </w:pPr>
            <w:r>
              <w:rPr>
                <w:noProof/>
                <w:sz w:val="20"/>
                <w:szCs w:val="20"/>
              </w:rPr>
              <w:drawing>
                <wp:inline distT="114300" distB="114300" distL="114300" distR="114300" wp14:anchorId="7DB77689" wp14:editId="024B5890">
                  <wp:extent cx="3981450" cy="25400"/>
                  <wp:effectExtent l="0" t="0" r="0" b="0"/>
                  <wp:docPr id="4" name="image2.png" descr="" title=""/>
                  <wp:cNvGraphicFramePr/>
                  <a:graphic xmlns:a="http://schemas.openxmlformats.org/drawingml/2006/main">
                    <a:graphicData uri="http://schemas.openxmlformats.org/drawingml/2006/picture">
                      <pic:pic xmlns:pic="http://schemas.openxmlformats.org/drawingml/2006/picture">
                        <pic:nvPicPr>
                          <pic:cNvPr id="0" name="image2.png" descr="가로선"/>
                          <pic:cNvPicPr preferRelativeResize="0"/>
                        </pic:nvPicPr>
                        <pic:blipFill>
                          <a:blip r:embed="rId5"/>
                          <a:srcRect/>
                          <a:stretch>
                            <a:fillRect/>
                          </a:stretch>
                        </pic:blipFill>
                        <pic:spPr>
                          <a:xfrm>
                            <a:off x="0" y="0"/>
                            <a:ext cx="3981450" cy="25400"/>
                          </a:xfrm>
                          <a:prstGeom prst="rect">
                            <a:avLst/>
                          </a:prstGeom>
                          <a:ln/>
                        </pic:spPr>
                      </pic:pic>
                    </a:graphicData>
                  </a:graphic>
                </wp:inline>
              </w:drawing>
            </w:r>
          </w:p>
          <w:p w:rsidR="00BC14FE" w:rsidRDefault="003F400F" w14:paraId="20BD5A6B" w14:textId="4E9EA750">
            <w:pPr>
              <w:widowControl w:val="0"/>
              <w:pBdr>
                <w:top w:val="nil"/>
                <w:left w:val="nil"/>
                <w:bottom w:val="nil"/>
                <w:right w:val="nil"/>
                <w:between w:val="nil"/>
              </w:pBdr>
              <w:rPr>
                <w:sz w:val="20"/>
                <w:szCs w:val="20"/>
              </w:rPr>
            </w:pPr>
            <w:r>
              <w:rPr>
                <w:rFonts w:hint="eastAsia"/>
                <w:sz w:val="20"/>
                <w:szCs w:val="20"/>
              </w:rPr>
              <w:t>Xin Tao (Partner)</w:t>
            </w:r>
          </w:p>
          <w:p w:rsidR="00BC14FE" w:rsidP="003F400F" w:rsidRDefault="003F400F" w14:paraId="1B427CA9" w14:textId="149A13D8">
            <w:pPr>
              <w:widowControl w:val="0"/>
              <w:pBdr>
                <w:top w:val="nil"/>
                <w:left w:val="nil"/>
                <w:bottom w:val="nil"/>
                <w:right w:val="nil"/>
                <w:between w:val="nil"/>
              </w:pBdr>
              <w:spacing w:before="0"/>
              <w:rPr>
                <w:sz w:val="20"/>
                <w:szCs w:val="20"/>
              </w:rPr>
            </w:pPr>
            <w:r>
              <w:rPr>
                <w:color w:val="D44500"/>
                <w:sz w:val="20"/>
                <w:szCs w:val="20"/>
              </w:rPr>
              <w:t xml:space="preserve">+1 </w:t>
            </w:r>
            <w:r w:rsidRPr="003F400F">
              <w:rPr>
                <w:rFonts w:hint="eastAsia"/>
                <w:color w:val="D44500"/>
                <w:sz w:val="20"/>
                <w:szCs w:val="20"/>
              </w:rPr>
              <w:t>202 835 1890</w:t>
            </w:r>
          </w:p>
          <w:p w:rsidR="00BC14FE" w:rsidP="003F400F" w:rsidRDefault="003F400F" w14:paraId="60B5254D" w14:textId="0E2F028B">
            <w:pPr>
              <w:widowControl w:val="0"/>
              <w:pBdr>
                <w:top w:val="nil"/>
                <w:left w:val="nil"/>
                <w:bottom w:val="nil"/>
                <w:right w:val="nil"/>
                <w:between w:val="nil"/>
              </w:pBdr>
              <w:spacing w:before="0"/>
              <w:rPr>
                <w:sz w:val="20"/>
                <w:szCs w:val="20"/>
              </w:rPr>
            </w:pPr>
            <w:hyperlink w:history="1" r:id="rId7">
              <w:r w:rsidRPr="00DD1A71">
                <w:rPr>
                  <w:rStyle w:val="Hyperlink"/>
                  <w:rFonts w:hint="eastAsia"/>
                </w:rPr>
                <w:t>xin.tao@bakermckenzie.com</w:t>
              </w:r>
            </w:hyperlink>
          </w:p>
        </w:tc>
      </w:tr>
      <w:tr w:rsidR="00BC14FE" w14:paraId="04A2B606" w14:textId="77777777">
        <w:trPr>
          <w:trHeight w:val="3255"/>
        </w:trPr>
        <w:tc>
          <w:tcPr>
            <w:tcW w:w="3525" w:type="dxa"/>
            <w:tcBorders>
              <w:top w:val="nil"/>
              <w:left w:val="nil"/>
              <w:bottom w:val="nil"/>
              <w:right w:val="nil"/>
            </w:tcBorders>
            <w:shd w:val="clear" w:color="auto" w:fill="auto"/>
            <w:tcMar>
              <w:top w:w="72" w:type="dxa"/>
              <w:left w:w="72" w:type="dxa"/>
              <w:bottom w:w="72" w:type="dxa"/>
              <w:right w:w="72" w:type="dxa"/>
            </w:tcMar>
          </w:tcPr>
          <w:p w:rsidR="00BC14FE" w:rsidRDefault="00000000" w14:paraId="59F9C211" w14:textId="77777777">
            <w:pPr>
              <w:widowControl w:val="0"/>
              <w:pBdr>
                <w:top w:val="nil"/>
                <w:left w:val="nil"/>
                <w:bottom w:val="nil"/>
                <w:right w:val="nil"/>
                <w:between w:val="nil"/>
              </w:pBdr>
              <w:spacing w:before="0" w:line="240" w:lineRule="auto"/>
              <w:rPr>
                <w:b/>
                <w:sz w:val="20"/>
                <w:szCs w:val="20"/>
              </w:rPr>
            </w:pPr>
            <w:r>
              <w:rPr>
                <w:rFonts w:ascii="Arial Unicode MS" w:hAnsi="Arial Unicode MS" w:eastAsia="Arial Unicode MS" w:cs="Arial Unicode MS"/>
                <w:b/>
                <w:sz w:val="28"/>
                <w:szCs w:val="28"/>
              </w:rPr>
              <w:t>ㅡ</w:t>
            </w:r>
          </w:p>
          <w:p w:rsidR="00BC14FE" w:rsidRDefault="00000000" w14:paraId="5D96E3D6" w14:textId="77777777">
            <w:pPr>
              <w:pStyle w:val="Heading1"/>
              <w:keepNext w:val="0"/>
              <w:keepLines w:val="0"/>
              <w:widowControl w:val="0"/>
              <w:pBdr>
                <w:top w:val="nil"/>
                <w:left w:val="nil"/>
                <w:bottom w:val="nil"/>
                <w:right w:val="nil"/>
                <w:between w:val="nil"/>
              </w:pBdr>
            </w:pPr>
            <w:bookmarkStart w:name="_gbnhrfggwdei" w:colFirst="0" w:colLast="0" w:id="4"/>
            <w:bookmarkEnd w:id="4"/>
            <w:r>
              <w:t>ABOUT YOUR COMPANY</w:t>
            </w:r>
          </w:p>
        </w:tc>
        <w:tc>
          <w:tcPr>
            <w:tcW w:w="6554" w:type="dxa"/>
            <w:tcBorders>
              <w:top w:val="nil"/>
              <w:left w:val="nil"/>
              <w:bottom w:val="nil"/>
              <w:right w:val="nil"/>
            </w:tcBorders>
            <w:shd w:val="clear" w:color="auto" w:fill="auto"/>
            <w:tcMar>
              <w:top w:w="100" w:type="dxa"/>
              <w:left w:w="100" w:type="dxa"/>
              <w:bottom w:w="100" w:type="dxa"/>
              <w:right w:w="100" w:type="dxa"/>
            </w:tcMar>
          </w:tcPr>
          <w:p w:rsidR="00BC14FE" w:rsidRDefault="00000000" w14:paraId="00AF6489" w14:textId="77777777">
            <w:pPr>
              <w:widowControl w:val="0"/>
              <w:pBdr>
                <w:top w:val="nil"/>
                <w:left w:val="nil"/>
                <w:bottom w:val="nil"/>
                <w:right w:val="nil"/>
                <w:between w:val="nil"/>
              </w:pBdr>
              <w:spacing w:before="0"/>
              <w:rPr>
                <w:sz w:val="20"/>
                <w:szCs w:val="20"/>
              </w:rPr>
            </w:pPr>
            <w:r>
              <w:rPr>
                <w:noProof/>
                <w:sz w:val="20"/>
                <w:szCs w:val="20"/>
              </w:rPr>
              <w:drawing>
                <wp:inline distT="114300" distB="114300" distL="114300" distR="114300" wp14:anchorId="1F914A48" wp14:editId="23DB67F4">
                  <wp:extent cx="3981450" cy="25400"/>
                  <wp:effectExtent l="0" t="0" r="0" b="0"/>
                  <wp:docPr id="2" name="image4.png" descr="" title=""/>
                  <wp:cNvGraphicFramePr/>
                  <a:graphic xmlns:a="http://schemas.openxmlformats.org/drawingml/2006/main">
                    <a:graphicData uri="http://schemas.openxmlformats.org/drawingml/2006/picture">
                      <pic:pic xmlns:pic="http://schemas.openxmlformats.org/drawingml/2006/picture">
                        <pic:nvPicPr>
                          <pic:cNvPr id="0" name="image4.png" descr="가로선"/>
                          <pic:cNvPicPr preferRelativeResize="0"/>
                        </pic:nvPicPr>
                        <pic:blipFill>
                          <a:blip r:embed="rId5"/>
                          <a:srcRect/>
                          <a:stretch>
                            <a:fillRect/>
                          </a:stretch>
                        </pic:blipFill>
                        <pic:spPr>
                          <a:xfrm>
                            <a:off x="0" y="0"/>
                            <a:ext cx="3981450" cy="25400"/>
                          </a:xfrm>
                          <a:prstGeom prst="rect">
                            <a:avLst/>
                          </a:prstGeom>
                          <a:ln/>
                        </pic:spPr>
                      </pic:pic>
                    </a:graphicData>
                  </a:graphic>
                </wp:inline>
              </w:drawing>
            </w:r>
          </w:p>
          <w:p w:rsidR="00BC14FE" w:rsidRDefault="003F400F" w14:paraId="63B07C70" w14:textId="3A4606F5">
            <w:pPr>
              <w:widowControl w:val="0"/>
              <w:spacing w:before="100"/>
              <w:rPr>
                <w:sz w:val="20"/>
                <w:szCs w:val="20"/>
              </w:rPr>
            </w:pPr>
            <w:r w:rsidRPr="003F400F">
              <w:rPr>
                <w:rFonts w:hint="eastAsia"/>
                <w:sz w:val="20"/>
                <w:szCs w:val="20"/>
              </w:rPr>
              <w:t xml:space="preserve">Baker McKenzie is one of the largest international law firms. Founded in 1949 under the name Baker &amp; McKenzie, it has </w:t>
            </w:r>
            <w:r>
              <w:rPr>
                <w:rFonts w:hint="eastAsia"/>
                <w:sz w:val="20"/>
                <w:szCs w:val="20"/>
              </w:rPr>
              <w:t xml:space="preserve">over </w:t>
            </w:r>
            <w:r w:rsidRPr="003F400F">
              <w:rPr>
                <w:rFonts w:hint="eastAsia"/>
                <w:sz w:val="20"/>
                <w:szCs w:val="20"/>
              </w:rPr>
              <w:t>7</w:t>
            </w:r>
            <w:r>
              <w:rPr>
                <w:rFonts w:hint="eastAsia"/>
                <w:sz w:val="20"/>
                <w:szCs w:val="20"/>
              </w:rPr>
              <w:t>0</w:t>
            </w:r>
            <w:r w:rsidRPr="003F400F">
              <w:rPr>
                <w:rFonts w:hint="eastAsia"/>
                <w:sz w:val="20"/>
                <w:szCs w:val="20"/>
              </w:rPr>
              <w:t xml:space="preserve"> offices in </w:t>
            </w:r>
            <w:r>
              <w:rPr>
                <w:rFonts w:hint="eastAsia"/>
                <w:sz w:val="20"/>
                <w:szCs w:val="20"/>
              </w:rPr>
              <w:t xml:space="preserve">over </w:t>
            </w:r>
            <w:r w:rsidRPr="003F400F">
              <w:rPr>
                <w:rFonts w:hint="eastAsia"/>
                <w:sz w:val="20"/>
                <w:szCs w:val="20"/>
              </w:rPr>
              <w:t>4</w:t>
            </w:r>
            <w:r>
              <w:rPr>
                <w:rFonts w:hint="eastAsia"/>
                <w:sz w:val="20"/>
                <w:szCs w:val="20"/>
              </w:rPr>
              <w:t>0</w:t>
            </w:r>
            <w:r w:rsidRPr="003F400F">
              <w:rPr>
                <w:rFonts w:hint="eastAsia"/>
                <w:sz w:val="20"/>
                <w:szCs w:val="20"/>
              </w:rPr>
              <w:t xml:space="preserve"> countries and employs </w:t>
            </w:r>
            <w:r w:rsidR="00B46A8D">
              <w:rPr>
                <w:rFonts w:hint="eastAsia"/>
                <w:sz w:val="20"/>
                <w:szCs w:val="20"/>
              </w:rPr>
              <w:t>more than 6,500 lawyers.</w:t>
            </w:r>
          </w:p>
        </w:tc>
      </w:tr>
      <w:tr w:rsidR="00BC14FE" w14:paraId="1B2F9039" w14:textId="77777777">
        <w:trPr>
          <w:trHeight w:val="3640"/>
        </w:trPr>
        <w:tc>
          <w:tcPr>
            <w:tcW w:w="3525" w:type="dxa"/>
            <w:tcBorders>
              <w:top w:val="nil"/>
              <w:left w:val="nil"/>
              <w:bottom w:val="nil"/>
              <w:right w:val="nil"/>
            </w:tcBorders>
            <w:shd w:val="clear" w:color="auto" w:fill="auto"/>
            <w:tcMar>
              <w:top w:w="72" w:type="dxa"/>
              <w:left w:w="72" w:type="dxa"/>
              <w:bottom w:w="72" w:type="dxa"/>
              <w:right w:w="72" w:type="dxa"/>
            </w:tcMar>
          </w:tcPr>
          <w:p w:rsidR="00BC14FE" w:rsidRDefault="00000000" w14:paraId="712DC13E" w14:textId="77777777">
            <w:pPr>
              <w:widowControl w:val="0"/>
              <w:pBdr>
                <w:top w:val="nil"/>
                <w:left w:val="nil"/>
                <w:bottom w:val="nil"/>
                <w:right w:val="nil"/>
                <w:between w:val="nil"/>
              </w:pBdr>
              <w:spacing w:before="0" w:line="240" w:lineRule="auto"/>
              <w:rPr>
                <w:b/>
                <w:sz w:val="20"/>
                <w:szCs w:val="20"/>
              </w:rPr>
            </w:pPr>
            <w:r>
              <w:rPr>
                <w:rFonts w:ascii="Arial Unicode MS" w:hAnsi="Arial Unicode MS" w:eastAsia="Arial Unicode MS" w:cs="Arial Unicode MS"/>
                <w:b/>
                <w:sz w:val="28"/>
                <w:szCs w:val="28"/>
              </w:rPr>
              <w:t>ㅡ</w:t>
            </w:r>
          </w:p>
          <w:p w:rsidR="00BC14FE" w:rsidRDefault="00000000" w14:paraId="035B6927" w14:textId="77777777">
            <w:pPr>
              <w:pStyle w:val="Heading1"/>
              <w:keepNext w:val="0"/>
              <w:keepLines w:val="0"/>
              <w:widowControl w:val="0"/>
              <w:pBdr>
                <w:top w:val="nil"/>
                <w:left w:val="nil"/>
                <w:bottom w:val="nil"/>
                <w:right w:val="nil"/>
                <w:between w:val="nil"/>
              </w:pBdr>
            </w:pPr>
            <w:bookmarkStart w:name="_tk538brb1kdf" w:colFirst="0" w:colLast="0" w:id="5"/>
            <w:bookmarkEnd w:id="5"/>
            <w:r>
              <w:t>AREAS OF FOCUS</w:t>
            </w:r>
          </w:p>
        </w:tc>
        <w:tc>
          <w:tcPr>
            <w:tcW w:w="6554" w:type="dxa"/>
            <w:tcBorders>
              <w:top w:val="nil"/>
              <w:left w:val="nil"/>
              <w:bottom w:val="nil"/>
              <w:right w:val="nil"/>
            </w:tcBorders>
            <w:shd w:val="clear" w:color="auto" w:fill="auto"/>
            <w:tcMar>
              <w:top w:w="100" w:type="dxa"/>
              <w:left w:w="100" w:type="dxa"/>
              <w:bottom w:w="100" w:type="dxa"/>
              <w:right w:w="100" w:type="dxa"/>
            </w:tcMar>
          </w:tcPr>
          <w:p w:rsidR="00BC14FE" w:rsidRDefault="00000000" w14:paraId="64DDB9EF" w14:textId="77777777">
            <w:pPr>
              <w:widowControl w:val="0"/>
              <w:pBdr>
                <w:top w:val="nil"/>
                <w:left w:val="nil"/>
                <w:bottom w:val="nil"/>
                <w:right w:val="nil"/>
                <w:between w:val="nil"/>
              </w:pBdr>
              <w:spacing w:before="0"/>
              <w:rPr>
                <w:sz w:val="20"/>
                <w:szCs w:val="20"/>
              </w:rPr>
            </w:pPr>
            <w:r>
              <w:rPr>
                <w:noProof/>
                <w:sz w:val="20"/>
                <w:szCs w:val="20"/>
              </w:rPr>
              <w:drawing>
                <wp:inline distT="114300" distB="114300" distL="114300" distR="114300" wp14:anchorId="332FC42C" wp14:editId="4A859F3B">
                  <wp:extent cx="3981450" cy="25400"/>
                  <wp:effectExtent l="0" t="0" r="0" b="0"/>
                  <wp:docPr id="3" name="image3.png" descr="" title=""/>
                  <wp:cNvGraphicFramePr/>
                  <a:graphic xmlns:a="http://schemas.openxmlformats.org/drawingml/2006/main">
                    <a:graphicData uri="http://schemas.openxmlformats.org/drawingml/2006/picture">
                      <pic:pic xmlns:pic="http://schemas.openxmlformats.org/drawingml/2006/picture">
                        <pic:nvPicPr>
                          <pic:cNvPr id="0" name="image3.png" descr="가로선"/>
                          <pic:cNvPicPr preferRelativeResize="0"/>
                        </pic:nvPicPr>
                        <pic:blipFill>
                          <a:blip r:embed="rId5"/>
                          <a:srcRect/>
                          <a:stretch>
                            <a:fillRect/>
                          </a:stretch>
                        </pic:blipFill>
                        <pic:spPr>
                          <a:xfrm>
                            <a:off x="0" y="0"/>
                            <a:ext cx="3981450" cy="25400"/>
                          </a:xfrm>
                          <a:prstGeom prst="rect">
                            <a:avLst/>
                          </a:prstGeom>
                          <a:ln/>
                        </pic:spPr>
                      </pic:pic>
                    </a:graphicData>
                  </a:graphic>
                </wp:inline>
              </w:drawing>
            </w:r>
          </w:p>
          <w:p w:rsidRPr="00AE5835" w:rsidR="00AE5835" w:rsidP="00AE5835" w:rsidRDefault="00AE5835" w14:paraId="543695E5" w14:textId="77777777">
            <w:pPr>
              <w:pStyle w:val="Heading2"/>
              <w:widowControl w:val="0"/>
              <w:pBdr>
                <w:top w:val="nil"/>
                <w:left w:val="nil"/>
                <w:bottom w:val="nil"/>
                <w:right w:val="nil"/>
                <w:between w:val="nil"/>
              </w:pBdr>
            </w:pPr>
            <w:bookmarkStart w:name="_r7oinwx5vtl9" w:colFirst="0" w:colLast="0" w:id="6"/>
            <w:bookmarkEnd w:id="6"/>
            <w:r w:rsidRPr="00AE5835">
              <w:lastRenderedPageBreak/>
              <w:t>Baker McKenzie's regulatory team can help you navigate the complex regulatory landscape of the retail, cosmetics, nutritional, pharmaceutical and medical device, generic products, and food and consumer packaged goods sectors.</w:t>
            </w:r>
          </w:p>
          <w:p w:rsidRPr="00AE5835" w:rsidR="00AE5835" w:rsidP="00AE5835" w:rsidRDefault="00AE5835" w14:paraId="106BEC38" w14:textId="77777777">
            <w:pPr>
              <w:pStyle w:val="Heading2"/>
              <w:widowControl w:val="0"/>
              <w:pBdr>
                <w:top w:val="nil"/>
                <w:left w:val="nil"/>
                <w:bottom w:val="nil"/>
                <w:right w:val="nil"/>
                <w:between w:val="nil"/>
              </w:pBdr>
            </w:pPr>
            <w:r w:rsidRPr="00AE5835">
              <w:t>We are forward thinking and vigilant, staying abreast of applicable laws and regulations to provide clients current and forward-thinking advice and counsel across a broad range of issues.</w:t>
            </w:r>
          </w:p>
          <w:p w:rsidRPr="00AE5835" w:rsidR="00AE5835" w:rsidP="00AE5835" w:rsidRDefault="00AE5835" w14:paraId="1751ED00" w14:textId="77777777">
            <w:pPr>
              <w:pStyle w:val="Heading2"/>
              <w:widowControl w:val="0"/>
              <w:pBdr>
                <w:top w:val="nil"/>
                <w:left w:val="nil"/>
                <w:bottom w:val="nil"/>
                <w:right w:val="nil"/>
                <w:between w:val="nil"/>
              </w:pBdr>
            </w:pPr>
            <w:r w:rsidRPr="00AE5835">
              <w:t>Our key areas of support include:</w:t>
            </w:r>
          </w:p>
          <w:p w:rsidRPr="00AE5835" w:rsidR="00AE5835" w:rsidP="00AE5835" w:rsidRDefault="00AE5835" w14:paraId="3CFDC582" w14:textId="77777777">
            <w:pPr>
              <w:pStyle w:val="Heading2"/>
              <w:widowControl w:val="0"/>
              <w:numPr>
                <w:ilvl w:val="0"/>
                <w:numId w:val="1"/>
              </w:numPr>
              <w:pBdr>
                <w:top w:val="nil"/>
                <w:left w:val="nil"/>
                <w:bottom w:val="nil"/>
                <w:right w:val="nil"/>
                <w:between w:val="nil"/>
              </w:pBdr>
            </w:pPr>
            <w:r w:rsidRPr="00AE5835">
              <w:t>transactional due diligence and post-acquisition support for business growth</w:t>
            </w:r>
          </w:p>
          <w:p w:rsidRPr="00AE5835" w:rsidR="00AE5835" w:rsidP="00AE5835" w:rsidRDefault="00AE5835" w14:paraId="6E8EE204" w14:textId="77777777">
            <w:pPr>
              <w:pStyle w:val="Heading2"/>
              <w:widowControl w:val="0"/>
              <w:numPr>
                <w:ilvl w:val="0"/>
                <w:numId w:val="1"/>
              </w:numPr>
              <w:pBdr>
                <w:top w:val="nil"/>
                <w:left w:val="nil"/>
                <w:bottom w:val="nil"/>
                <w:right w:val="nil"/>
                <w:between w:val="nil"/>
              </w:pBdr>
            </w:pPr>
            <w:r w:rsidRPr="00AE5835">
              <w:t>restructuring strategies including investments, M&amp;A and divestitures</w:t>
            </w:r>
          </w:p>
          <w:p w:rsidRPr="00AE5835" w:rsidR="00AE5835" w:rsidP="00AE5835" w:rsidRDefault="00AE5835" w14:paraId="7A81B2D4" w14:textId="77777777">
            <w:pPr>
              <w:pStyle w:val="Heading2"/>
              <w:widowControl w:val="0"/>
              <w:numPr>
                <w:ilvl w:val="0"/>
                <w:numId w:val="1"/>
              </w:numPr>
              <w:pBdr>
                <w:top w:val="nil"/>
                <w:left w:val="nil"/>
                <w:bottom w:val="nil"/>
                <w:right w:val="nil"/>
                <w:between w:val="nil"/>
              </w:pBdr>
            </w:pPr>
            <w:r w:rsidRPr="00AE5835">
              <w:t>compliance matters including audits, navigating notices from regulatory agencies, proactive compliance programs</w:t>
            </w:r>
          </w:p>
          <w:p w:rsidRPr="00AE5835" w:rsidR="00AE5835" w:rsidP="00AE5835" w:rsidRDefault="00AE5835" w14:paraId="5CB66720" w14:textId="77777777">
            <w:pPr>
              <w:pStyle w:val="Heading2"/>
              <w:widowControl w:val="0"/>
              <w:numPr>
                <w:ilvl w:val="0"/>
                <w:numId w:val="1"/>
              </w:numPr>
              <w:pBdr>
                <w:top w:val="nil"/>
                <w:left w:val="nil"/>
                <w:bottom w:val="nil"/>
                <w:right w:val="nil"/>
                <w:between w:val="nil"/>
              </w:pBdr>
            </w:pPr>
            <w:r w:rsidRPr="00AE5835">
              <w:t>cross-border issues for clients and regulatory issues in other jurisdictions</w:t>
            </w:r>
          </w:p>
          <w:p w:rsidRPr="00AE5835" w:rsidR="00AE5835" w:rsidP="00AE5835" w:rsidRDefault="00AE5835" w14:paraId="5E446B85" w14:textId="77777777">
            <w:pPr>
              <w:pStyle w:val="Heading2"/>
              <w:widowControl w:val="0"/>
              <w:pBdr>
                <w:top w:val="nil"/>
                <w:left w:val="nil"/>
                <w:bottom w:val="nil"/>
                <w:right w:val="nil"/>
                <w:between w:val="nil"/>
              </w:pBdr>
            </w:pPr>
            <w:r w:rsidRPr="00AE5835">
              <w:rPr>
                <w:bCs/>
              </w:rPr>
              <w:t>Biopharmaceuticals and Medical Devices</w:t>
            </w:r>
          </w:p>
          <w:p w:rsidRPr="00AE5835" w:rsidR="00AE5835" w:rsidP="00AE5835" w:rsidRDefault="00AE5835" w14:paraId="01DDBBB1" w14:textId="77777777">
            <w:pPr>
              <w:pStyle w:val="Heading2"/>
              <w:widowControl w:val="0"/>
              <w:pBdr>
                <w:top w:val="nil"/>
                <w:left w:val="nil"/>
                <w:bottom w:val="nil"/>
                <w:right w:val="nil"/>
                <w:between w:val="nil"/>
              </w:pBdr>
            </w:pPr>
            <w:r w:rsidRPr="00AE5835">
              <w:t>We assist clients in the product development stage through commercialization and product launch. We carefully review necessary filings, provide research as well as clinical trial guidance and support, navigate meetings with the FDA, and assist in pre-launch planning, labeling, advertising and promotional strategies and materials review, and FDA enforcement.</w:t>
            </w:r>
          </w:p>
          <w:p w:rsidRPr="00AE5835" w:rsidR="00AE5835" w:rsidP="00AE5835" w:rsidRDefault="00AE5835" w14:paraId="327617C5" w14:textId="77777777">
            <w:pPr>
              <w:pStyle w:val="Heading2"/>
              <w:widowControl w:val="0"/>
              <w:pBdr>
                <w:top w:val="nil"/>
                <w:left w:val="nil"/>
                <w:bottom w:val="nil"/>
                <w:right w:val="nil"/>
                <w:between w:val="nil"/>
              </w:pBdr>
            </w:pPr>
            <w:r w:rsidRPr="00AE5835">
              <w:t>Additional areas of support include:</w:t>
            </w:r>
          </w:p>
          <w:p w:rsidRPr="00AE5835" w:rsidR="00AE5835" w:rsidP="00AE5835" w:rsidRDefault="00AE5835" w14:paraId="777AA952" w14:textId="77777777">
            <w:pPr>
              <w:pStyle w:val="Heading2"/>
              <w:widowControl w:val="0"/>
              <w:numPr>
                <w:ilvl w:val="0"/>
                <w:numId w:val="2"/>
              </w:numPr>
              <w:pBdr>
                <w:top w:val="nil"/>
                <w:left w:val="nil"/>
                <w:bottom w:val="nil"/>
                <w:right w:val="nil"/>
                <w:between w:val="nil"/>
              </w:pBdr>
            </w:pPr>
            <w:r w:rsidRPr="00AE5835">
              <w:t>manufacturing and supply agreements with focus on potential cross-border issues impacting supply chain footprint</w:t>
            </w:r>
          </w:p>
          <w:p w:rsidRPr="00AE5835" w:rsidR="00AE5835" w:rsidP="00AE5835" w:rsidRDefault="00AE5835" w14:paraId="37BEADF1" w14:textId="77777777">
            <w:pPr>
              <w:pStyle w:val="Heading2"/>
              <w:widowControl w:val="0"/>
              <w:numPr>
                <w:ilvl w:val="0"/>
                <w:numId w:val="2"/>
              </w:numPr>
              <w:pBdr>
                <w:top w:val="nil"/>
                <w:left w:val="nil"/>
                <w:bottom w:val="nil"/>
                <w:right w:val="nil"/>
                <w:between w:val="nil"/>
              </w:pBdr>
            </w:pPr>
            <w:r w:rsidRPr="00AE5835">
              <w:t>required certifications and additional areas of compliance, specific to medical devices</w:t>
            </w:r>
          </w:p>
          <w:p w:rsidRPr="00AE5835" w:rsidR="00AE5835" w:rsidP="00AE5835" w:rsidRDefault="00AE5835" w14:paraId="2923D9D5" w14:textId="77777777">
            <w:pPr>
              <w:pStyle w:val="Heading2"/>
              <w:widowControl w:val="0"/>
              <w:numPr>
                <w:ilvl w:val="0"/>
                <w:numId w:val="2"/>
              </w:numPr>
              <w:pBdr>
                <w:top w:val="nil"/>
                <w:left w:val="nil"/>
                <w:bottom w:val="nil"/>
                <w:right w:val="nil"/>
                <w:between w:val="nil"/>
              </w:pBdr>
            </w:pPr>
            <w:r w:rsidRPr="00AE5835">
              <w:t>compliance programs and ready support from our Litigation &amp; Disputes for False Claims Act disputes</w:t>
            </w:r>
          </w:p>
          <w:p w:rsidRPr="00AE5835" w:rsidR="00AE5835" w:rsidP="00AE5835" w:rsidRDefault="00AE5835" w14:paraId="5F688DB4" w14:textId="77777777">
            <w:pPr>
              <w:pStyle w:val="Heading2"/>
              <w:widowControl w:val="0"/>
              <w:pBdr>
                <w:top w:val="nil"/>
                <w:left w:val="nil"/>
                <w:bottom w:val="nil"/>
                <w:right w:val="nil"/>
                <w:between w:val="nil"/>
              </w:pBdr>
            </w:pPr>
            <w:r w:rsidRPr="00AE5835">
              <w:rPr>
                <w:bCs/>
              </w:rPr>
              <w:t>Cosmetics and Food</w:t>
            </w:r>
          </w:p>
          <w:p w:rsidRPr="00AE5835" w:rsidR="00AE5835" w:rsidP="00AE5835" w:rsidRDefault="00AE5835" w14:paraId="49111D9D" w14:textId="77777777">
            <w:pPr>
              <w:pStyle w:val="Heading2"/>
              <w:widowControl w:val="0"/>
              <w:pBdr>
                <w:top w:val="nil"/>
                <w:left w:val="nil"/>
                <w:bottom w:val="nil"/>
                <w:right w:val="nil"/>
                <w:between w:val="nil"/>
              </w:pBdr>
            </w:pPr>
            <w:r w:rsidRPr="00AE5835">
              <w:t xml:space="preserve">We have extensive experience in products regulated under the Federal Food, Drug &amp; Cosmetic Act and the Fair Packaging &amp; Labeling Act. We work closely with clients as advisors in reviewing products they manufacture, distribute or sell for compliance with regulatory guidelines including </w:t>
            </w:r>
            <w:r w:rsidRPr="00AE5835">
              <w:lastRenderedPageBreak/>
              <w:t>additives, coloring and any materials along their supply chain used in production.</w:t>
            </w:r>
          </w:p>
          <w:p w:rsidRPr="00AE5835" w:rsidR="00AE5835" w:rsidP="00AE5835" w:rsidRDefault="00AE5835" w14:paraId="30A9E71A" w14:textId="77777777">
            <w:pPr>
              <w:pStyle w:val="Heading2"/>
              <w:widowControl w:val="0"/>
              <w:pBdr>
                <w:top w:val="nil"/>
                <w:left w:val="nil"/>
                <w:bottom w:val="nil"/>
                <w:right w:val="nil"/>
                <w:between w:val="nil"/>
              </w:pBdr>
            </w:pPr>
            <w:r w:rsidRPr="00AE5835">
              <w:t>Our team works extensively with clients during product development, in labeling, advertising and marketing promotional strategies as well as cross-jurisdictional regulatory issues, supply chain issues and agreements, distributor agreements and more.</w:t>
            </w:r>
          </w:p>
          <w:p w:rsidRPr="00AE5835" w:rsidR="00AE5835" w:rsidP="00AE5835" w:rsidRDefault="00AE5835" w14:paraId="0113ACD6" w14:textId="77777777">
            <w:pPr>
              <w:pStyle w:val="Heading2"/>
              <w:widowControl w:val="0"/>
              <w:pBdr>
                <w:top w:val="nil"/>
                <w:left w:val="nil"/>
                <w:bottom w:val="nil"/>
                <w:right w:val="nil"/>
                <w:between w:val="nil"/>
              </w:pBdr>
            </w:pPr>
            <w:r w:rsidRPr="00AE5835">
              <w:t>We also work in conjunction with our Litigation &amp; Disputes team in defense of claims of mislabeling, false claims, and comparative advertising.</w:t>
            </w:r>
          </w:p>
          <w:p w:rsidR="00BC14FE" w:rsidRDefault="00BC14FE" w14:paraId="6D5619FA" w14:textId="77777777">
            <w:pPr>
              <w:widowControl w:val="0"/>
              <w:spacing w:before="100"/>
              <w:rPr>
                <w:sz w:val="20"/>
                <w:szCs w:val="20"/>
              </w:rPr>
            </w:pPr>
          </w:p>
        </w:tc>
      </w:tr>
    </w:tbl>
    <w:p w:rsidR="00BC14FE" w:rsidRDefault="00BC14FE" w14:paraId="0ABC8CB0" w14:textId="77777777">
      <w:pPr>
        <w:pBdr>
          <w:top w:val="nil"/>
          <w:left w:val="nil"/>
          <w:bottom w:val="nil"/>
          <w:right w:val="nil"/>
          <w:between w:val="nil"/>
        </w:pBdr>
        <w:spacing w:before="0"/>
      </w:pPr>
    </w:p>
    <w:sectPr w:rsidR="00BC14FE">
      <w:pgSz w:w="11906" w:h="16838"/>
      <w:pgMar w:top="720" w:right="1077" w:bottom="720" w:left="107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Raleway">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E2A2F"/>
    <w:multiLevelType w:val="multilevel"/>
    <w:tmpl w:val="12B4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D64FD1"/>
    <w:multiLevelType w:val="multilevel"/>
    <w:tmpl w:val="A8F6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2627149">
    <w:abstractNumId w:val="0"/>
  </w:num>
  <w:num w:numId="2" w16cid:durableId="1860506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4FE"/>
    <w:rsid w:val="003F400F"/>
    <w:rsid w:val="00AE5835"/>
    <w:rsid w:val="00B46A8D"/>
    <w:rsid w:val="00BC1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3BEE2"/>
  <w15:docId w15:val="{7AEDDAF5-928E-4D26-A050-28ED6E595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hAnsi="Lato" w:cs="Lato" w:eastAsiaTheme="minorEastAsia"/>
        <w:sz w:val="22"/>
        <w:szCs w:val="22"/>
        <w:lang w:val="ko" w:eastAsia="zh-CN" w:bidi="ar-SA"/>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80"/>
      <w:outlineLvl w:val="0"/>
    </w:pPr>
    <w:rPr>
      <w:rFonts w:ascii="Raleway" w:hAnsi="Raleway" w:eastAsia="Raleway" w:cs="Raleway"/>
      <w:b/>
      <w:sz w:val="24"/>
      <w:szCs w:val="24"/>
    </w:rPr>
  </w:style>
  <w:style w:type="paragraph" w:styleId="Heading2">
    <w:name w:val="heading 2"/>
    <w:basedOn w:val="Normal"/>
    <w:next w:val="Normal"/>
    <w:uiPriority w:val="9"/>
    <w:unhideWhenUsed/>
    <w:qFormat/>
    <w:pPr>
      <w:keepNext/>
      <w:keepLines/>
      <w:outlineLvl w:val="1"/>
    </w:pPr>
    <w:rPr>
      <w:rFonts w:eastAsia="Lato"/>
      <w:b/>
    </w:rPr>
  </w:style>
  <w:style w:type="paragraph" w:styleId="Heading3">
    <w:name w:val="heading 3"/>
    <w:basedOn w:val="Normal"/>
    <w:next w:val="Normal"/>
    <w:uiPriority w:val="9"/>
    <w:unhideWhenUsed/>
    <w:qFormat/>
    <w:pPr>
      <w:keepNext/>
      <w:keepLines/>
      <w:outlineLvl w:val="2"/>
    </w:pPr>
    <w:rPr>
      <w:rFonts w:eastAsia="Lato"/>
      <w:color w:val="666666"/>
      <w:sz w:val="18"/>
      <w:szCs w:val="18"/>
    </w:rPr>
  </w:style>
  <w:style w:type="paragraph" w:styleId="Heading4">
    <w:name w:val="heading 4"/>
    <w:basedOn w:val="Normal"/>
    <w:next w:val="Normal"/>
    <w:uiPriority w:val="9"/>
    <w:semiHidden/>
    <w:unhideWhenUsed/>
    <w:qFormat/>
    <w:pPr>
      <w:keepNext/>
      <w:keepLines/>
      <w:spacing w:before="160"/>
      <w:outlineLvl w:val="3"/>
    </w:pPr>
    <w:rPr>
      <w:rFonts w:ascii="Trebuchet MS" w:hAnsi="Trebuchet MS" w:eastAsia="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hAnsi="Trebuchet MS" w:eastAsia="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hAnsi="Trebuchet MS" w:eastAsia="Trebuchet MS" w:cs="Trebuchet MS"/>
      <w:i/>
      <w:color w:val="66666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line="240" w:lineRule="auto"/>
    </w:pPr>
    <w:rPr>
      <w:rFonts w:ascii="Raleway" w:hAnsi="Raleway" w:eastAsia="Raleway" w:cs="Raleway"/>
      <w:b/>
      <w:sz w:val="48"/>
      <w:szCs w:val="48"/>
    </w:rPr>
  </w:style>
  <w:style w:type="paragraph" w:styleId="Subtitle">
    <w:name w:val="Subtitle"/>
    <w:basedOn w:val="Normal"/>
    <w:next w:val="Normal"/>
    <w:uiPriority w:val="11"/>
    <w:qFormat/>
    <w:pPr>
      <w:keepNext/>
      <w:keepLines/>
      <w:spacing w:before="60" w:line="240" w:lineRule="auto"/>
    </w:pPr>
    <w:rPr>
      <w:rFonts w:ascii="Raleway" w:hAnsi="Raleway" w:eastAsia="Raleway" w:cs="Raleway"/>
      <w:b/>
      <w:color w:val="F2511B"/>
      <w:sz w:val="32"/>
      <w:szCs w:val="32"/>
    </w:rPr>
  </w:style>
  <w:style w:type="table" w:styleId="a" w:customStyle="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3F400F"/>
    <w:rPr>
      <w:color w:val="0000FF" w:themeColor="hyperlink"/>
      <w:u w:val="single"/>
    </w:rPr>
  </w:style>
  <w:style w:type="character" w:styleId="UnresolvedMention">
    <w:name w:val="Unresolved Mention"/>
    <w:basedOn w:val="DefaultParagraphFont"/>
    <w:uiPriority w:val="99"/>
    <w:semiHidden/>
    <w:unhideWhenUsed/>
    <w:rsid w:val="003F40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870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in.tao@bakermckenzi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in.tao@bakermckenzie.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1900-01-01T06:00:00.0000000Z</dcterms:created>
  <dcterms:modified xsi:type="dcterms:W3CDTF">2024-07-05T02:31:35.0000000Z</dcterms:modified>
</coreProperties>
</file>