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21E9" w:rsidRDefault="005021E9" w14:paraId="2EA71400" w14:textId="77777777">
      <w:pPr>
        <w:widowControl w:val="0"/>
        <w:pBdr>
          <w:top w:val="nil"/>
          <w:left w:val="nil"/>
          <w:bottom w:val="nil"/>
          <w:right w:val="nil"/>
          <w:between w:val="nil"/>
        </w:pBdr>
        <w:spacing w:before="0"/>
        <w:rPr>
          <w:sz w:val="12"/>
          <w:szCs w:val="12"/>
        </w:rPr>
      </w:pPr>
    </w:p>
    <w:tbl>
      <w:tblPr>
        <w:tblStyle w:val="a"/>
        <w:tblW w:w="10080" w:type="dxa"/>
        <w:tblLayout w:type="fixed"/>
        <w:tblLook w:val="0600" w:firstRow="0" w:lastRow="0" w:firstColumn="0" w:lastColumn="0" w:noHBand="1" w:noVBand="1"/>
      </w:tblPr>
      <w:tblGrid>
        <w:gridCol w:w="3525"/>
        <w:gridCol w:w="6555"/>
      </w:tblGrid>
      <w:tr w:rsidR="005021E9" w14:paraId="7E0F5353" w14:textId="77777777">
        <w:trPr>
          <w:trHeight w:val="2400"/>
        </w:trPr>
        <w:tc>
          <w:tcPr>
            <w:tcW w:w="3525" w:type="dxa"/>
            <w:tcBorders>
              <w:top w:val="nil"/>
              <w:left w:val="nil"/>
              <w:bottom w:val="nil"/>
              <w:right w:val="nil"/>
            </w:tcBorders>
            <w:shd w:val="clear" w:color="auto" w:fill="auto"/>
            <w:tcMar>
              <w:top w:w="72" w:type="dxa"/>
              <w:left w:w="72" w:type="dxa"/>
              <w:bottom w:w="72" w:type="dxa"/>
              <w:right w:w="72" w:type="dxa"/>
            </w:tcMar>
          </w:tcPr>
          <w:p w:rsidRPr="00A8432F" w:rsidR="005021E9" w:rsidRDefault="00A8432F" w14:paraId="3CBBC164" w14:textId="194146E7">
            <w:pPr>
              <w:pStyle w:val="Title"/>
              <w:widowControl w:val="0"/>
              <w:pBdr>
                <w:top w:val="nil"/>
                <w:left w:val="nil"/>
                <w:bottom w:val="nil"/>
                <w:right w:val="nil"/>
                <w:between w:val="nil"/>
              </w:pBdr>
              <w:spacing w:before="0"/>
              <w:rPr>
                <w:rFonts w:hint="eastAsia" w:eastAsiaTheme="minorEastAsia"/>
              </w:rPr>
            </w:pPr>
            <w:bookmarkStart w:name="_4prkjmzco10w" w:colFirst="0" w:colLast="0" w:id="0"/>
            <w:bookmarkEnd w:id="0"/>
            <w:r>
              <w:rPr>
                <w:rFonts w:hint="eastAsia" w:eastAsiaTheme="minorEastAsia"/>
              </w:rPr>
              <w:t>Xin Tao</w:t>
            </w:r>
          </w:p>
          <w:p w:rsidRPr="00A8432F" w:rsidR="005021E9" w:rsidRDefault="00A8432F" w14:paraId="09F6F80B" w14:textId="1FEFFE11">
            <w:pPr>
              <w:pStyle w:val="Subtitle"/>
              <w:keepNext w:val="0"/>
              <w:keepLines w:val="0"/>
              <w:widowControl w:val="0"/>
              <w:pBdr>
                <w:top w:val="nil"/>
                <w:left w:val="nil"/>
                <w:bottom w:val="nil"/>
                <w:right w:val="nil"/>
                <w:between w:val="nil"/>
              </w:pBdr>
              <w:rPr>
                <w:rFonts w:hint="eastAsia" w:eastAsiaTheme="minorEastAsia"/>
              </w:rPr>
            </w:pPr>
            <w:bookmarkStart w:name="_o2iwx3vdck7p" w:colFirst="0" w:colLast="0" w:id="1"/>
            <w:bookmarkEnd w:id="1"/>
            <w:r w:rsidRPr="00D73906">
              <w:rPr>
                <w:rFonts w:hint="eastAsia" w:eastAsiaTheme="minorEastAsia"/>
                <w:sz w:val="28"/>
                <w:szCs w:val="28"/>
              </w:rPr>
              <w:t>Baker McKenzie US LLP</w:t>
            </w:r>
          </w:p>
        </w:tc>
        <w:tc>
          <w:tcPr>
            <w:tcW w:w="6554" w:type="dxa"/>
            <w:tcBorders>
              <w:top w:val="nil"/>
              <w:left w:val="nil"/>
              <w:bottom w:val="nil"/>
              <w:right w:val="nil"/>
            </w:tcBorders>
            <w:shd w:val="clear" w:color="auto" w:fill="auto"/>
            <w:tcMar>
              <w:top w:w="100" w:type="dxa"/>
              <w:left w:w="100" w:type="dxa"/>
              <w:bottom w:w="100" w:type="dxa"/>
              <w:right w:w="100" w:type="dxa"/>
            </w:tcMar>
          </w:tcPr>
          <w:p w:rsidR="005021E9" w:rsidRDefault="00000000" w14:paraId="629661E3" w14:textId="77777777">
            <w:pPr>
              <w:widowControl w:val="0"/>
              <w:pBdr>
                <w:top w:val="nil"/>
                <w:left w:val="nil"/>
                <w:bottom w:val="nil"/>
                <w:right w:val="nil"/>
                <w:between w:val="nil"/>
              </w:pBdr>
              <w:spacing w:before="0" w:line="240" w:lineRule="auto"/>
              <w:rPr>
                <w:sz w:val="20"/>
                <w:szCs w:val="20"/>
              </w:rPr>
            </w:pPr>
            <w:r>
              <w:rPr>
                <w:noProof/>
                <w:sz w:val="20"/>
                <w:szCs w:val="20"/>
              </w:rPr>
              <w:drawing>
                <wp:inline distT="114300" distB="114300" distL="114300" distR="114300" wp14:anchorId="6B8FA76B" wp14:editId="0116B607">
                  <wp:extent cx="3981450" cy="25400"/>
                  <wp:effectExtent l="0" t="0" r="0" b="0"/>
                  <wp:docPr id="1" name="image1.png" descr="" title=""/>
                  <wp:cNvGraphicFramePr/>
                  <a:graphic xmlns:a="http://schemas.openxmlformats.org/drawingml/2006/main">
                    <a:graphicData uri="http://schemas.openxmlformats.org/drawingml/2006/picture">
                      <pic:pic xmlns:pic="http://schemas.openxmlformats.org/drawingml/2006/picture">
                        <pic:nvPicPr>
                          <pic:cNvPr id="0" name="image1.png" descr="가로선"/>
                          <pic:cNvPicPr preferRelativeResize="0"/>
                        </pic:nvPicPr>
                        <pic:blipFill>
                          <a:blip r:embed="rId5"/>
                          <a:srcRect/>
                          <a:stretch>
                            <a:fillRect/>
                          </a:stretch>
                        </pic:blipFill>
                        <pic:spPr>
                          <a:xfrm>
                            <a:off x="0" y="0"/>
                            <a:ext cx="3981450" cy="25400"/>
                          </a:xfrm>
                          <a:prstGeom prst="rect">
                            <a:avLst/>
                          </a:prstGeom>
                          <a:ln/>
                        </pic:spPr>
                      </pic:pic>
                    </a:graphicData>
                  </a:graphic>
                </wp:inline>
              </w:drawing>
            </w:r>
          </w:p>
          <w:p w:rsidRPr="00A8432F" w:rsidR="005021E9" w:rsidRDefault="00A8432F" w14:paraId="3E361B87" w14:textId="2D0A2B3D">
            <w:pPr>
              <w:pStyle w:val="Heading1"/>
              <w:keepNext w:val="0"/>
              <w:keepLines w:val="0"/>
              <w:widowControl w:val="0"/>
              <w:pBdr>
                <w:top w:val="nil"/>
                <w:left w:val="nil"/>
                <w:bottom w:val="nil"/>
                <w:right w:val="nil"/>
                <w:between w:val="nil"/>
              </w:pBdr>
              <w:spacing w:before="120"/>
              <w:rPr>
                <w:rFonts w:hint="eastAsia" w:eastAsiaTheme="minorEastAsia"/>
              </w:rPr>
            </w:pPr>
            <w:bookmarkStart w:name="_lf5wiiqsu4ub" w:colFirst="0" w:colLast="0" w:id="2"/>
            <w:bookmarkEnd w:id="2"/>
            <w:r>
              <w:rPr>
                <w:rFonts w:hint="eastAsia" w:eastAsiaTheme="minorEastAsia"/>
              </w:rPr>
              <w:t>Xin Tao</w:t>
            </w:r>
          </w:p>
          <w:p w:rsidR="005021E9" w:rsidRDefault="00A8432F" w14:paraId="507DD0CA" w14:textId="296BE977">
            <w:pPr>
              <w:widowControl w:val="0"/>
              <w:pBdr>
                <w:top w:val="nil"/>
                <w:left w:val="nil"/>
                <w:bottom w:val="nil"/>
                <w:right w:val="nil"/>
                <w:between w:val="nil"/>
              </w:pBdr>
              <w:spacing w:before="0" w:line="240" w:lineRule="auto"/>
              <w:rPr>
                <w:sz w:val="20"/>
                <w:szCs w:val="20"/>
              </w:rPr>
            </w:pPr>
            <w:r>
              <w:rPr>
                <w:rFonts w:hint="eastAsia"/>
                <w:sz w:val="20"/>
                <w:szCs w:val="20"/>
              </w:rPr>
              <w:t>Washington DC</w:t>
            </w:r>
          </w:p>
          <w:p w:rsidR="00A8432F" w:rsidRDefault="00A8432F" w14:paraId="2BE84157" w14:textId="381A629D">
            <w:pPr>
              <w:widowControl w:val="0"/>
              <w:pBdr>
                <w:top w:val="nil"/>
                <w:left w:val="nil"/>
                <w:bottom w:val="nil"/>
                <w:right w:val="nil"/>
                <w:between w:val="nil"/>
              </w:pBdr>
              <w:spacing w:before="0" w:line="240" w:lineRule="auto"/>
              <w:rPr>
                <w:sz w:val="20"/>
                <w:szCs w:val="20"/>
              </w:rPr>
            </w:pPr>
            <w:r>
              <w:rPr>
                <w:rFonts w:hint="eastAsia"/>
                <w:sz w:val="20"/>
                <w:szCs w:val="20"/>
              </w:rPr>
              <w:t xml:space="preserve">Partner </w:t>
            </w:r>
          </w:p>
          <w:p w:rsidR="00A8432F" w:rsidRDefault="00A8432F" w14:paraId="6745F0AF" w14:textId="7ABACE0C">
            <w:pPr>
              <w:widowControl w:val="0"/>
              <w:pBdr>
                <w:top w:val="nil"/>
                <w:left w:val="nil"/>
                <w:bottom w:val="nil"/>
                <w:right w:val="nil"/>
                <w:between w:val="nil"/>
              </w:pBdr>
              <w:spacing w:before="0" w:line="240" w:lineRule="auto"/>
              <w:rPr>
                <w:rFonts w:hint="eastAsia"/>
                <w:sz w:val="20"/>
                <w:szCs w:val="20"/>
              </w:rPr>
            </w:pPr>
            <w:r>
              <w:rPr>
                <w:rFonts w:hint="eastAsia"/>
                <w:sz w:val="20"/>
                <w:szCs w:val="20"/>
              </w:rPr>
              <w:t>Baker McKenzie US LLP</w:t>
            </w:r>
          </w:p>
          <w:p w:rsidR="005021E9" w:rsidRDefault="00000000" w14:paraId="05BFA4BC" w14:textId="6BE9074E">
            <w:pPr>
              <w:widowControl w:val="0"/>
              <w:pBdr>
                <w:top w:val="nil"/>
                <w:left w:val="nil"/>
                <w:bottom w:val="nil"/>
                <w:right w:val="nil"/>
                <w:between w:val="nil"/>
              </w:pBdr>
              <w:spacing w:before="200" w:line="240" w:lineRule="auto"/>
              <w:rPr>
                <w:rFonts w:hint="eastAsia"/>
                <w:color w:val="D44500"/>
                <w:sz w:val="20"/>
                <w:szCs w:val="20"/>
              </w:rPr>
            </w:pPr>
            <w:r>
              <w:rPr>
                <w:color w:val="D44500"/>
                <w:sz w:val="20"/>
                <w:szCs w:val="20"/>
              </w:rPr>
              <w:t>+1 (</w:t>
            </w:r>
            <w:r w:rsidR="00A8432F">
              <w:rPr>
                <w:rFonts w:hint="eastAsia"/>
                <w:color w:val="D44500"/>
                <w:sz w:val="20"/>
                <w:szCs w:val="20"/>
              </w:rPr>
              <w:t>202</w:t>
            </w:r>
            <w:r>
              <w:rPr>
                <w:color w:val="D44500"/>
                <w:sz w:val="20"/>
                <w:szCs w:val="20"/>
              </w:rPr>
              <w:t xml:space="preserve">)  </w:t>
            </w:r>
            <w:r w:rsidR="00A8432F">
              <w:rPr>
                <w:rFonts w:hint="eastAsia"/>
                <w:color w:val="D44500"/>
                <w:sz w:val="20"/>
                <w:szCs w:val="20"/>
              </w:rPr>
              <w:t>835</w:t>
            </w:r>
            <w:r>
              <w:rPr>
                <w:color w:val="D44500"/>
                <w:sz w:val="20"/>
                <w:szCs w:val="20"/>
              </w:rPr>
              <w:t>-</w:t>
            </w:r>
            <w:r w:rsidR="00A8432F">
              <w:rPr>
                <w:rFonts w:hint="eastAsia"/>
                <w:color w:val="D44500"/>
                <w:sz w:val="20"/>
                <w:szCs w:val="20"/>
              </w:rPr>
              <w:t>1890</w:t>
            </w:r>
          </w:p>
          <w:p w:rsidR="005021E9" w:rsidRDefault="00A8432F" w14:paraId="241F817D" w14:textId="00223FAB">
            <w:pPr>
              <w:widowControl w:val="0"/>
              <w:pBdr>
                <w:top w:val="nil"/>
                <w:left w:val="nil"/>
                <w:bottom w:val="nil"/>
                <w:right w:val="nil"/>
                <w:between w:val="nil"/>
              </w:pBdr>
              <w:spacing w:before="0" w:line="240" w:lineRule="auto"/>
              <w:rPr>
                <w:color w:val="D44500"/>
                <w:sz w:val="20"/>
                <w:szCs w:val="20"/>
              </w:rPr>
            </w:pPr>
            <w:hyperlink w:history="1" r:id="rId6">
              <w:r w:rsidRPr="008B6678">
                <w:rPr>
                  <w:rStyle w:val="Hyperlink"/>
                  <w:rFonts w:hint="eastAsia"/>
                </w:rPr>
                <w:t>xin.tao@bakermckenzie.com</w:t>
              </w:r>
            </w:hyperlink>
            <w:r>
              <w:rPr>
                <w:rFonts w:hint="eastAsia"/>
              </w:rPr>
              <w:t xml:space="preserve"> </w:t>
            </w:r>
          </w:p>
          <w:p w:rsidR="005021E9" w:rsidRDefault="00A8432F" w14:paraId="67B74CEF" w14:textId="0C38BFB2">
            <w:pPr>
              <w:widowControl w:val="0"/>
              <w:pBdr>
                <w:top w:val="nil"/>
                <w:left w:val="nil"/>
                <w:bottom w:val="nil"/>
                <w:right w:val="nil"/>
                <w:between w:val="nil"/>
              </w:pBdr>
              <w:spacing w:before="0" w:line="240" w:lineRule="auto"/>
              <w:rPr>
                <w:color w:val="D44500"/>
                <w:sz w:val="20"/>
                <w:szCs w:val="20"/>
              </w:rPr>
            </w:pPr>
            <w:r w:rsidRPr="00A8432F">
              <w:rPr>
                <w:rFonts w:hint="eastAsia"/>
                <w:color w:val="D44500"/>
                <w:sz w:val="20"/>
                <w:szCs w:val="20"/>
              </w:rPr>
              <w:t>https://www.bakermckenzie.com/en/people/t/tao-xin</w:t>
            </w:r>
          </w:p>
        </w:tc>
      </w:tr>
      <w:tr w:rsidR="005021E9" w14:paraId="53577AAB" w14:textId="77777777">
        <w:trPr>
          <w:trHeight w:val="1440"/>
        </w:trPr>
        <w:tc>
          <w:tcPr>
            <w:tcW w:w="3525" w:type="dxa"/>
            <w:tcBorders>
              <w:top w:val="nil"/>
              <w:left w:val="nil"/>
              <w:bottom w:val="nil"/>
              <w:right w:val="nil"/>
            </w:tcBorders>
            <w:shd w:val="clear" w:color="auto" w:fill="auto"/>
            <w:tcMar>
              <w:top w:w="72" w:type="dxa"/>
              <w:left w:w="72" w:type="dxa"/>
              <w:bottom w:w="72" w:type="dxa"/>
              <w:right w:w="72" w:type="dxa"/>
            </w:tcMar>
          </w:tcPr>
          <w:p w:rsidR="005021E9" w:rsidRDefault="00000000" w14:paraId="2CFC8393" w14:textId="77777777">
            <w:pPr>
              <w:widowControl w:val="0"/>
              <w:pBdr>
                <w:top w:val="nil"/>
                <w:left w:val="nil"/>
                <w:bottom w:val="nil"/>
                <w:right w:val="nil"/>
                <w:between w:val="nil"/>
              </w:pBdr>
              <w:spacing w:before="0" w:line="240" w:lineRule="auto"/>
              <w:rPr>
                <w:b/>
                <w:sz w:val="20"/>
                <w:szCs w:val="20"/>
              </w:rPr>
            </w:pPr>
            <w:r>
              <w:rPr>
                <w:rFonts w:ascii="Arial Unicode MS" w:hAnsi="Arial Unicode MS" w:eastAsia="Arial Unicode MS" w:cs="Arial Unicode MS"/>
                <w:b/>
                <w:sz w:val="28"/>
                <w:szCs w:val="28"/>
              </w:rPr>
              <w:t>ㅡ</w:t>
            </w:r>
          </w:p>
          <w:p w:rsidR="005021E9" w:rsidRDefault="00000000" w14:paraId="6E5071F2" w14:textId="77777777">
            <w:pPr>
              <w:pStyle w:val="Heading1"/>
              <w:keepNext w:val="0"/>
              <w:keepLines w:val="0"/>
              <w:widowControl w:val="0"/>
              <w:pBdr>
                <w:top w:val="nil"/>
                <w:left w:val="nil"/>
                <w:bottom w:val="nil"/>
                <w:right w:val="nil"/>
                <w:between w:val="nil"/>
              </w:pBdr>
            </w:pPr>
            <w:bookmarkStart w:name="_61e3cm1p1fln" w:colFirst="0" w:colLast="0" w:id="3"/>
            <w:bookmarkEnd w:id="3"/>
            <w:r>
              <w:t>CREDENTIALS</w:t>
            </w:r>
          </w:p>
        </w:tc>
        <w:tc>
          <w:tcPr>
            <w:tcW w:w="6554" w:type="dxa"/>
            <w:tcBorders>
              <w:top w:val="nil"/>
              <w:left w:val="nil"/>
              <w:bottom w:val="nil"/>
              <w:right w:val="nil"/>
            </w:tcBorders>
            <w:shd w:val="clear" w:color="auto" w:fill="auto"/>
            <w:tcMar>
              <w:top w:w="100" w:type="dxa"/>
              <w:left w:w="100" w:type="dxa"/>
              <w:bottom w:w="100" w:type="dxa"/>
              <w:right w:w="100" w:type="dxa"/>
            </w:tcMar>
          </w:tcPr>
          <w:p w:rsidR="005021E9" w:rsidRDefault="00000000" w14:paraId="1F303F10" w14:textId="77777777">
            <w:pPr>
              <w:widowControl w:val="0"/>
              <w:pBdr>
                <w:top w:val="nil"/>
                <w:left w:val="nil"/>
                <w:bottom w:val="nil"/>
                <w:right w:val="nil"/>
                <w:between w:val="nil"/>
              </w:pBdr>
              <w:spacing w:before="0"/>
              <w:rPr>
                <w:sz w:val="20"/>
                <w:szCs w:val="20"/>
              </w:rPr>
            </w:pPr>
            <w:r>
              <w:rPr>
                <w:noProof/>
                <w:sz w:val="20"/>
                <w:szCs w:val="20"/>
              </w:rPr>
              <w:drawing>
                <wp:inline distT="114300" distB="114300" distL="114300" distR="114300" wp14:anchorId="5F51E237" wp14:editId="6360303F">
                  <wp:extent cx="3981450" cy="25400"/>
                  <wp:effectExtent l="0" t="0" r="0" b="0"/>
                  <wp:docPr id="4" name="image4.png" descr="" title=""/>
                  <wp:cNvGraphicFramePr/>
                  <a:graphic xmlns:a="http://schemas.openxmlformats.org/drawingml/2006/main">
                    <a:graphicData uri="http://schemas.openxmlformats.org/drawingml/2006/picture">
                      <pic:pic xmlns:pic="http://schemas.openxmlformats.org/drawingml/2006/picture">
                        <pic:nvPicPr>
                          <pic:cNvPr id="0" name="image4.png" descr="가로선"/>
                          <pic:cNvPicPr preferRelativeResize="0"/>
                        </pic:nvPicPr>
                        <pic:blipFill>
                          <a:blip r:embed="rId5"/>
                          <a:srcRect/>
                          <a:stretch>
                            <a:fillRect/>
                          </a:stretch>
                        </pic:blipFill>
                        <pic:spPr>
                          <a:xfrm>
                            <a:off x="0" y="0"/>
                            <a:ext cx="3981450" cy="25400"/>
                          </a:xfrm>
                          <a:prstGeom prst="rect">
                            <a:avLst/>
                          </a:prstGeom>
                          <a:ln/>
                        </pic:spPr>
                      </pic:pic>
                    </a:graphicData>
                  </a:graphic>
                </wp:inline>
              </w:drawing>
            </w:r>
          </w:p>
          <w:p w:rsidRPr="00A8432F" w:rsidR="00A8432F" w:rsidP="00A8432F" w:rsidRDefault="00A8432F" w14:paraId="0994C133" w14:textId="77777777">
            <w:pPr>
              <w:widowControl w:val="0"/>
              <w:pBdr>
                <w:top w:val="nil"/>
                <w:left w:val="nil"/>
                <w:bottom w:val="nil"/>
                <w:right w:val="nil"/>
                <w:between w:val="nil"/>
              </w:pBdr>
              <w:rPr>
                <w:rFonts w:hint="eastAsia"/>
                <w:sz w:val="20"/>
                <w:szCs w:val="20"/>
              </w:rPr>
            </w:pPr>
            <w:r w:rsidRPr="00A8432F">
              <w:rPr>
                <w:rFonts w:hint="eastAsia"/>
                <w:sz w:val="20"/>
                <w:szCs w:val="20"/>
              </w:rPr>
              <w:t>Georgetown University Law Center (JD) (2012)</w:t>
            </w:r>
          </w:p>
          <w:p w:rsidR="00A8432F" w:rsidP="00A8432F" w:rsidRDefault="00A8432F" w14:paraId="37092DD6" w14:textId="2C161E19">
            <w:pPr>
              <w:widowControl w:val="0"/>
              <w:pBdr>
                <w:top w:val="nil"/>
                <w:left w:val="nil"/>
                <w:bottom w:val="nil"/>
                <w:right w:val="nil"/>
                <w:between w:val="nil"/>
              </w:pBdr>
              <w:rPr>
                <w:sz w:val="20"/>
                <w:szCs w:val="20"/>
              </w:rPr>
            </w:pPr>
            <w:r w:rsidRPr="00A8432F">
              <w:rPr>
                <w:rFonts w:hint="eastAsia"/>
                <w:sz w:val="20"/>
                <w:szCs w:val="20"/>
              </w:rPr>
              <w:t>Texas A&amp;M University (MS) (2009)</w:t>
            </w:r>
          </w:p>
          <w:p w:rsidR="005021E9" w:rsidP="00A8432F" w:rsidRDefault="00A8432F" w14:paraId="36ED941A" w14:textId="446080C7">
            <w:pPr>
              <w:widowControl w:val="0"/>
              <w:pBdr>
                <w:top w:val="nil"/>
                <w:left w:val="nil"/>
                <w:bottom w:val="nil"/>
                <w:right w:val="nil"/>
                <w:between w:val="nil"/>
              </w:pBdr>
              <w:rPr>
                <w:sz w:val="20"/>
                <w:szCs w:val="20"/>
              </w:rPr>
            </w:pPr>
            <w:r>
              <w:rPr>
                <w:rFonts w:hint="eastAsia"/>
                <w:sz w:val="20"/>
                <w:szCs w:val="20"/>
              </w:rPr>
              <w:t xml:space="preserve">Bar Admission: Washington DC  </w:t>
            </w:r>
            <w:r w:rsidR="00000000">
              <w:rPr>
                <w:sz w:val="20"/>
                <w:szCs w:val="20"/>
              </w:rPr>
              <w:t xml:space="preserve"> </w:t>
            </w:r>
          </w:p>
        </w:tc>
      </w:tr>
      <w:tr w:rsidR="005021E9" w14:paraId="17045178" w14:textId="77777777">
        <w:trPr>
          <w:trHeight w:val="5300"/>
        </w:trPr>
        <w:tc>
          <w:tcPr>
            <w:tcW w:w="3525" w:type="dxa"/>
            <w:tcBorders>
              <w:top w:val="nil"/>
              <w:left w:val="nil"/>
              <w:bottom w:val="nil"/>
              <w:right w:val="nil"/>
            </w:tcBorders>
            <w:shd w:val="clear" w:color="auto" w:fill="auto"/>
            <w:tcMar>
              <w:top w:w="72" w:type="dxa"/>
              <w:left w:w="72" w:type="dxa"/>
              <w:bottom w:w="72" w:type="dxa"/>
              <w:right w:w="72" w:type="dxa"/>
            </w:tcMar>
          </w:tcPr>
          <w:p w:rsidR="005021E9" w:rsidRDefault="00000000" w14:paraId="5E09C810" w14:textId="77777777">
            <w:pPr>
              <w:widowControl w:val="0"/>
              <w:pBdr>
                <w:top w:val="nil"/>
                <w:left w:val="nil"/>
                <w:bottom w:val="nil"/>
                <w:right w:val="nil"/>
                <w:between w:val="nil"/>
              </w:pBdr>
              <w:spacing w:before="0" w:line="240" w:lineRule="auto"/>
              <w:rPr>
                <w:b/>
                <w:sz w:val="20"/>
                <w:szCs w:val="20"/>
              </w:rPr>
            </w:pPr>
            <w:r>
              <w:rPr>
                <w:rFonts w:ascii="Arial Unicode MS" w:hAnsi="Arial Unicode MS" w:eastAsia="Arial Unicode MS" w:cs="Arial Unicode MS"/>
                <w:b/>
                <w:sz w:val="28"/>
                <w:szCs w:val="28"/>
              </w:rPr>
              <w:t>ㅡ</w:t>
            </w:r>
          </w:p>
          <w:p w:rsidR="005021E9" w:rsidRDefault="00000000" w14:paraId="384CF4C4" w14:textId="77777777">
            <w:pPr>
              <w:pStyle w:val="Heading1"/>
              <w:keepNext w:val="0"/>
              <w:keepLines w:val="0"/>
              <w:widowControl w:val="0"/>
              <w:pBdr>
                <w:top w:val="nil"/>
                <w:left w:val="nil"/>
                <w:bottom w:val="nil"/>
                <w:right w:val="nil"/>
                <w:between w:val="nil"/>
              </w:pBdr>
            </w:pPr>
            <w:bookmarkStart w:name="_gbnhrfggwdei" w:colFirst="0" w:colLast="0" w:id="4"/>
            <w:bookmarkEnd w:id="4"/>
            <w:r>
              <w:t>CAREERS / WORK EXPERIENCE</w:t>
            </w:r>
          </w:p>
        </w:tc>
        <w:tc>
          <w:tcPr>
            <w:tcW w:w="6554" w:type="dxa"/>
            <w:tcBorders>
              <w:top w:val="nil"/>
              <w:left w:val="nil"/>
              <w:bottom w:val="nil"/>
              <w:right w:val="nil"/>
            </w:tcBorders>
            <w:shd w:val="clear" w:color="auto" w:fill="auto"/>
            <w:tcMar>
              <w:top w:w="100" w:type="dxa"/>
              <w:left w:w="100" w:type="dxa"/>
              <w:bottom w:w="100" w:type="dxa"/>
              <w:right w:w="100" w:type="dxa"/>
            </w:tcMar>
          </w:tcPr>
          <w:p w:rsidR="005021E9" w:rsidRDefault="00000000" w14:paraId="7B56CCB4" w14:textId="77777777">
            <w:pPr>
              <w:widowControl w:val="0"/>
              <w:pBdr>
                <w:top w:val="nil"/>
                <w:left w:val="nil"/>
                <w:bottom w:val="nil"/>
                <w:right w:val="nil"/>
                <w:between w:val="nil"/>
              </w:pBdr>
              <w:spacing w:before="0"/>
              <w:rPr>
                <w:sz w:val="20"/>
                <w:szCs w:val="20"/>
              </w:rPr>
            </w:pPr>
            <w:r>
              <w:rPr>
                <w:noProof/>
                <w:sz w:val="20"/>
                <w:szCs w:val="20"/>
              </w:rPr>
              <w:drawing>
                <wp:inline distT="114300" distB="114300" distL="114300" distR="114300" wp14:anchorId="7C27C523" wp14:editId="1CC2D145">
                  <wp:extent cx="3981450" cy="25400"/>
                  <wp:effectExtent l="0" t="0" r="0" b="0"/>
                  <wp:docPr id="2" name="image2.png" descr="" title=""/>
                  <wp:cNvGraphicFramePr/>
                  <a:graphic xmlns:a="http://schemas.openxmlformats.org/drawingml/2006/main">
                    <a:graphicData uri="http://schemas.openxmlformats.org/drawingml/2006/picture">
                      <pic:pic xmlns:pic="http://schemas.openxmlformats.org/drawingml/2006/picture">
                        <pic:nvPicPr>
                          <pic:cNvPr id="0" name="image2.png" descr="가로선"/>
                          <pic:cNvPicPr preferRelativeResize="0"/>
                        </pic:nvPicPr>
                        <pic:blipFill>
                          <a:blip r:embed="rId5"/>
                          <a:srcRect/>
                          <a:stretch>
                            <a:fillRect/>
                          </a:stretch>
                        </pic:blipFill>
                        <pic:spPr>
                          <a:xfrm>
                            <a:off x="0" y="0"/>
                            <a:ext cx="3981450" cy="25400"/>
                          </a:xfrm>
                          <a:prstGeom prst="rect">
                            <a:avLst/>
                          </a:prstGeom>
                          <a:ln/>
                        </pic:spPr>
                      </pic:pic>
                    </a:graphicData>
                  </a:graphic>
                </wp:inline>
              </w:drawing>
            </w:r>
          </w:p>
          <w:p w:rsidRPr="00A8432F" w:rsidR="005021E9" w:rsidRDefault="00A8432F" w14:paraId="4BF81CDC" w14:textId="09A331D3">
            <w:pPr>
              <w:pStyle w:val="Heading2"/>
              <w:keepNext w:val="0"/>
              <w:keepLines w:val="0"/>
              <w:widowControl w:val="0"/>
              <w:pBdr>
                <w:top w:val="nil"/>
                <w:left w:val="nil"/>
                <w:bottom w:val="nil"/>
                <w:right w:val="nil"/>
                <w:between w:val="nil"/>
              </w:pBdr>
              <w:rPr>
                <w:rFonts w:hint="eastAsia" w:eastAsiaTheme="minorEastAsia"/>
                <w:b w:val="0"/>
              </w:rPr>
            </w:pPr>
            <w:bookmarkStart w:name="_y1q60llsp3ln" w:colFirst="0" w:colLast="0" w:id="5"/>
            <w:bookmarkEnd w:id="5"/>
            <w:r>
              <w:rPr>
                <w:rFonts w:hint="eastAsia" w:eastAsiaTheme="minorEastAsia"/>
              </w:rPr>
              <w:t>Baker McKenzie US LLP</w:t>
            </w:r>
            <w:r w:rsidR="00000000">
              <w:t xml:space="preserve">/ </w:t>
            </w:r>
            <w:r>
              <w:rPr>
                <w:rFonts w:hint="eastAsia" w:eastAsiaTheme="minorEastAsia"/>
                <w:b w:val="0"/>
              </w:rPr>
              <w:t>Partner</w:t>
            </w:r>
          </w:p>
          <w:p w:rsidRPr="00A8432F" w:rsidR="005021E9" w:rsidRDefault="00000000" w14:paraId="08780D5A" w14:textId="2F85D66B">
            <w:pPr>
              <w:pStyle w:val="Heading3"/>
              <w:keepNext w:val="0"/>
              <w:keepLines w:val="0"/>
              <w:widowControl w:val="0"/>
              <w:pBdr>
                <w:top w:val="nil"/>
                <w:left w:val="nil"/>
                <w:bottom w:val="nil"/>
                <w:right w:val="nil"/>
                <w:between w:val="nil"/>
              </w:pBdr>
              <w:spacing w:before="0"/>
              <w:rPr>
                <w:rFonts w:hint="eastAsia" w:eastAsiaTheme="minorEastAsia"/>
              </w:rPr>
            </w:pPr>
            <w:bookmarkStart w:name="_80m0megl6m3e" w:colFirst="0" w:colLast="0" w:id="6"/>
            <w:bookmarkEnd w:id="6"/>
            <w:r>
              <w:t>J</w:t>
            </w:r>
            <w:r w:rsidR="00A8432F">
              <w:rPr>
                <w:rFonts w:hint="eastAsia" w:eastAsiaTheme="minorEastAsia"/>
              </w:rPr>
              <w:t>an</w:t>
            </w:r>
            <w:r>
              <w:t xml:space="preserve"> </w:t>
            </w:r>
            <w:r w:rsidR="00A8432F">
              <w:rPr>
                <w:rFonts w:hint="eastAsia" w:eastAsiaTheme="minorEastAsia"/>
              </w:rPr>
              <w:t>2023</w:t>
            </w:r>
            <w:r>
              <w:t xml:space="preserve">  - PRESENT, </w:t>
            </w:r>
            <w:r w:rsidR="00A8432F">
              <w:rPr>
                <w:rFonts w:hint="eastAsia" w:eastAsiaTheme="minorEastAsia"/>
              </w:rPr>
              <w:t>Washington DC</w:t>
            </w:r>
          </w:p>
          <w:p w:rsidRPr="00D73906" w:rsidR="00D73906" w:rsidP="00D73906" w:rsidRDefault="00D73906" w14:paraId="257D2E74" w14:textId="77777777">
            <w:pPr>
              <w:widowControl w:val="0"/>
              <w:pBdr>
                <w:top w:val="nil"/>
                <w:left w:val="nil"/>
                <w:bottom w:val="nil"/>
                <w:right w:val="nil"/>
                <w:between w:val="nil"/>
              </w:pBdr>
              <w:spacing w:before="100"/>
              <w:rPr>
                <w:rFonts w:hint="eastAsia"/>
                <w:sz w:val="20"/>
                <w:szCs w:val="20"/>
              </w:rPr>
            </w:pPr>
            <w:r w:rsidRPr="00D73906">
              <w:rPr>
                <w:rFonts w:hint="eastAsia"/>
                <w:sz w:val="20"/>
                <w:szCs w:val="20"/>
              </w:rPr>
              <w:t>Xin Tao is a member of Baker McKenzie's North America Steering Committee for Healthcare &amp; Life Sciences, and heads our US Food and Drug Law Practice. Clients describe Xin as "His dedication to his clients stands out; he goes above and beyond to do whatever we need. He's really pragmatic with his advice too." (Chambers USA Client Interview - 2024).</w:t>
            </w:r>
          </w:p>
          <w:p w:rsidRPr="00D73906" w:rsidR="00D73906" w:rsidP="00D73906" w:rsidRDefault="00D73906" w14:paraId="4E6BEAF0" w14:textId="77777777">
            <w:pPr>
              <w:widowControl w:val="0"/>
              <w:pBdr>
                <w:top w:val="nil"/>
                <w:left w:val="nil"/>
                <w:bottom w:val="nil"/>
                <w:right w:val="nil"/>
                <w:between w:val="nil"/>
              </w:pBdr>
              <w:spacing w:before="100"/>
              <w:rPr>
                <w:rFonts w:hint="eastAsia"/>
                <w:sz w:val="20"/>
                <w:szCs w:val="20"/>
              </w:rPr>
            </w:pPr>
          </w:p>
          <w:p w:rsidRPr="00D73906" w:rsidR="00D73906" w:rsidP="00D73906" w:rsidRDefault="00D73906" w14:paraId="1D20C804" w14:textId="77777777">
            <w:pPr>
              <w:widowControl w:val="0"/>
              <w:pBdr>
                <w:top w:val="nil"/>
                <w:left w:val="nil"/>
                <w:bottom w:val="nil"/>
                <w:right w:val="nil"/>
                <w:between w:val="nil"/>
              </w:pBdr>
              <w:spacing w:before="100"/>
              <w:rPr>
                <w:rFonts w:hint="eastAsia"/>
                <w:sz w:val="20"/>
                <w:szCs w:val="20"/>
              </w:rPr>
            </w:pPr>
            <w:r w:rsidRPr="00D73906">
              <w:rPr>
                <w:rFonts w:hint="eastAsia"/>
                <w:sz w:val="20"/>
                <w:szCs w:val="20"/>
              </w:rPr>
              <w:t>A former research scientist, Xin brings a deep understanding of the complex scientific issues that relate to the US legal compliance and government enforcement issues, enabling him to help clients with all phases of product development, manufacturing, and marketing. As the science and technology continues to evolve, Xin supports our clients to constantly innovate and push the boundaries of what's possible in the world of science.</w:t>
            </w:r>
          </w:p>
          <w:p w:rsidRPr="00D73906" w:rsidR="00D73906" w:rsidP="00D73906" w:rsidRDefault="00D73906" w14:paraId="0DA5F83B" w14:textId="77777777">
            <w:pPr>
              <w:widowControl w:val="0"/>
              <w:pBdr>
                <w:top w:val="nil"/>
                <w:left w:val="nil"/>
                <w:bottom w:val="nil"/>
                <w:right w:val="nil"/>
                <w:between w:val="nil"/>
              </w:pBdr>
              <w:spacing w:before="100"/>
              <w:rPr>
                <w:rFonts w:hint="eastAsia"/>
                <w:sz w:val="20"/>
                <w:szCs w:val="20"/>
              </w:rPr>
            </w:pPr>
          </w:p>
          <w:p w:rsidR="005021E9" w:rsidP="00D73906" w:rsidRDefault="00D73906" w14:paraId="00A4D89E" w14:textId="33309A72">
            <w:pPr>
              <w:widowControl w:val="0"/>
              <w:pBdr>
                <w:top w:val="nil"/>
                <w:left w:val="nil"/>
                <w:bottom w:val="nil"/>
                <w:right w:val="nil"/>
                <w:between w:val="nil"/>
              </w:pBdr>
              <w:spacing w:before="100"/>
              <w:rPr>
                <w:sz w:val="20"/>
                <w:szCs w:val="20"/>
              </w:rPr>
            </w:pPr>
            <w:r w:rsidRPr="00D73906">
              <w:rPr>
                <w:rFonts w:hint="eastAsia"/>
                <w:sz w:val="20"/>
                <w:szCs w:val="20"/>
              </w:rPr>
              <w:t>Xin is a frequent speaker and writer on US life science legal developments, and he was selected to serve on the 2023 Law360 Life Sciences Editorial Advisory Board, and also nominated as a Thomson Reuters Stand-out Lawyer based on its 2024 client survey, and ranked in Chambers USA 2024.</w:t>
            </w:r>
          </w:p>
          <w:p w:rsidRPr="00D73906" w:rsidR="005021E9" w:rsidRDefault="00D73906" w14:paraId="4F16CB3D" w14:textId="5707FD14">
            <w:pPr>
              <w:pStyle w:val="Heading2"/>
              <w:keepNext w:val="0"/>
              <w:keepLines w:val="0"/>
              <w:widowControl w:val="0"/>
              <w:pBdr>
                <w:top w:val="nil"/>
                <w:left w:val="nil"/>
                <w:bottom w:val="nil"/>
                <w:right w:val="nil"/>
                <w:between w:val="nil"/>
              </w:pBdr>
              <w:spacing w:before="320"/>
              <w:rPr>
                <w:rFonts w:hint="eastAsia" w:eastAsiaTheme="minorEastAsia"/>
                <w:b w:val="0"/>
              </w:rPr>
            </w:pPr>
            <w:bookmarkStart w:name="_jx2g99olagu3" w:colFirst="0" w:colLast="0" w:id="7"/>
            <w:bookmarkEnd w:id="7"/>
            <w:r>
              <w:rPr>
                <w:rFonts w:hint="eastAsia" w:eastAsiaTheme="minorEastAsia"/>
              </w:rPr>
              <w:t>Hogan Lovells</w:t>
            </w:r>
            <w:r w:rsidR="00000000">
              <w:t xml:space="preserve"> / </w:t>
            </w:r>
            <w:r>
              <w:rPr>
                <w:rFonts w:hint="eastAsia" w:eastAsiaTheme="minorEastAsia"/>
                <w:b w:val="0"/>
              </w:rPr>
              <w:t>Counse/Associate</w:t>
            </w:r>
          </w:p>
          <w:p w:rsidRPr="00D73906" w:rsidR="005021E9" w:rsidRDefault="00D73906" w14:paraId="387FB296" w14:textId="634EAEC6">
            <w:pPr>
              <w:pStyle w:val="Heading3"/>
              <w:keepNext w:val="0"/>
              <w:keepLines w:val="0"/>
              <w:widowControl w:val="0"/>
              <w:spacing w:before="0"/>
              <w:rPr>
                <w:rFonts w:hint="eastAsia" w:eastAsiaTheme="minorEastAsia"/>
              </w:rPr>
            </w:pPr>
            <w:bookmarkStart w:name="_53567iicc30g" w:colFirst="0" w:colLast="0" w:id="8"/>
            <w:bookmarkEnd w:id="8"/>
            <w:r>
              <w:rPr>
                <w:rFonts w:hint="eastAsia" w:eastAsiaTheme="minorEastAsia"/>
              </w:rPr>
              <w:t>Sep</w:t>
            </w:r>
            <w:r w:rsidR="00000000">
              <w:t xml:space="preserve"> </w:t>
            </w:r>
            <w:r>
              <w:rPr>
                <w:rFonts w:hint="eastAsia" w:eastAsiaTheme="minorEastAsia"/>
              </w:rPr>
              <w:t>2013</w:t>
            </w:r>
            <w:r w:rsidR="00000000">
              <w:t xml:space="preserve">  - </w:t>
            </w:r>
            <w:r>
              <w:rPr>
                <w:rFonts w:hint="eastAsia" w:eastAsiaTheme="minorEastAsia"/>
              </w:rPr>
              <w:t>Jan 2023</w:t>
            </w:r>
            <w:r w:rsidR="00000000">
              <w:t xml:space="preserve">, </w:t>
            </w:r>
            <w:r>
              <w:rPr>
                <w:rFonts w:hint="eastAsia" w:eastAsiaTheme="minorEastAsia"/>
              </w:rPr>
              <w:t>Washignton DC</w:t>
            </w:r>
          </w:p>
          <w:p w:rsidR="005021E9" w:rsidRDefault="00D73906" w14:paraId="15F2F81D" w14:textId="563E29E2">
            <w:pPr>
              <w:widowControl w:val="0"/>
              <w:pBdr>
                <w:top w:val="nil"/>
                <w:left w:val="nil"/>
                <w:bottom w:val="nil"/>
                <w:right w:val="nil"/>
                <w:between w:val="nil"/>
              </w:pBdr>
              <w:spacing w:before="100"/>
              <w:rPr>
                <w:rFonts w:hint="eastAsia"/>
                <w:sz w:val="20"/>
                <w:szCs w:val="20"/>
              </w:rPr>
            </w:pPr>
            <w:r>
              <w:rPr>
                <w:rFonts w:hint="eastAsia"/>
                <w:sz w:val="20"/>
                <w:szCs w:val="20"/>
              </w:rPr>
              <w:t>US FDA Regulatory/Food, Cosmetics, Device, Pharma</w:t>
            </w:r>
          </w:p>
          <w:p w:rsidRPr="00D73906" w:rsidR="005021E9" w:rsidRDefault="00D73906" w14:paraId="25253F49" w14:textId="2F41843D">
            <w:pPr>
              <w:pStyle w:val="Heading2"/>
              <w:keepNext w:val="0"/>
              <w:keepLines w:val="0"/>
              <w:widowControl w:val="0"/>
              <w:pBdr>
                <w:top w:val="nil"/>
                <w:left w:val="nil"/>
                <w:bottom w:val="nil"/>
                <w:right w:val="nil"/>
                <w:between w:val="nil"/>
              </w:pBdr>
              <w:spacing w:before="320"/>
              <w:rPr>
                <w:rFonts w:hint="eastAsia" w:eastAsiaTheme="minorEastAsia"/>
                <w:b w:val="0"/>
              </w:rPr>
            </w:pPr>
            <w:bookmarkStart w:name="_bzmuwmfhy523" w:colFirst="0" w:colLast="0" w:id="9"/>
            <w:bookmarkEnd w:id="9"/>
            <w:r>
              <w:rPr>
                <w:rFonts w:hint="eastAsia" w:eastAsiaTheme="minorEastAsia"/>
              </w:rPr>
              <w:t>Keller and Heckman</w:t>
            </w:r>
            <w:r w:rsidR="00000000">
              <w:t xml:space="preserve"> / </w:t>
            </w:r>
            <w:r>
              <w:rPr>
                <w:rFonts w:hint="eastAsia" w:eastAsiaTheme="minorEastAsia"/>
                <w:b w:val="0"/>
              </w:rPr>
              <w:t>Associate/Scientist</w:t>
            </w:r>
          </w:p>
          <w:p w:rsidRPr="00D73906" w:rsidR="005021E9" w:rsidRDefault="00D73906" w14:paraId="20F9A9B0" w14:textId="79343977">
            <w:pPr>
              <w:pStyle w:val="Heading3"/>
              <w:keepNext w:val="0"/>
              <w:keepLines w:val="0"/>
              <w:widowControl w:val="0"/>
              <w:spacing w:before="0"/>
              <w:rPr>
                <w:rFonts w:hint="eastAsia" w:eastAsiaTheme="minorEastAsia"/>
              </w:rPr>
            </w:pPr>
            <w:bookmarkStart w:name="_idulaauz09kw" w:colFirst="0" w:colLast="0" w:id="10"/>
            <w:bookmarkEnd w:id="10"/>
            <w:r>
              <w:rPr>
                <w:rFonts w:hint="eastAsia" w:eastAsiaTheme="minorEastAsia"/>
              </w:rPr>
              <w:t>Dec 2011</w:t>
            </w:r>
            <w:r w:rsidR="00000000">
              <w:t xml:space="preserve">  - </w:t>
            </w:r>
            <w:r>
              <w:rPr>
                <w:rFonts w:hint="eastAsia" w:eastAsiaTheme="minorEastAsia"/>
              </w:rPr>
              <w:t>Sep 2013</w:t>
            </w:r>
            <w:r w:rsidR="00000000">
              <w:t xml:space="preserve">, </w:t>
            </w:r>
            <w:r>
              <w:rPr>
                <w:rFonts w:hint="eastAsia" w:eastAsiaTheme="minorEastAsia"/>
              </w:rPr>
              <w:t>Washington DC</w:t>
            </w:r>
          </w:p>
          <w:p w:rsidR="005021E9" w:rsidRDefault="00D73906" w14:paraId="24EF9A6F" w14:textId="18F66ABA">
            <w:pPr>
              <w:widowControl w:val="0"/>
              <w:spacing w:before="100"/>
              <w:rPr>
                <w:sz w:val="20"/>
                <w:szCs w:val="20"/>
              </w:rPr>
            </w:pPr>
            <w:r>
              <w:rPr>
                <w:rFonts w:hint="eastAsia"/>
                <w:sz w:val="20"/>
                <w:szCs w:val="20"/>
              </w:rPr>
              <w:t>US FDA Regulatory/Food, Cosmetics, Device, Pharma</w:t>
            </w:r>
          </w:p>
        </w:tc>
      </w:tr>
      <w:tr w:rsidR="005021E9" w14:paraId="0683A0C6" w14:textId="77777777">
        <w:trPr>
          <w:trHeight w:val="3640"/>
        </w:trPr>
        <w:tc>
          <w:tcPr>
            <w:tcW w:w="3525" w:type="dxa"/>
            <w:tcBorders>
              <w:top w:val="nil"/>
              <w:left w:val="nil"/>
              <w:bottom w:val="nil"/>
              <w:right w:val="nil"/>
            </w:tcBorders>
            <w:shd w:val="clear" w:color="auto" w:fill="auto"/>
            <w:tcMar>
              <w:top w:w="72" w:type="dxa"/>
              <w:left w:w="72" w:type="dxa"/>
              <w:bottom w:w="72" w:type="dxa"/>
              <w:right w:w="72" w:type="dxa"/>
            </w:tcMar>
          </w:tcPr>
          <w:p w:rsidR="005021E9" w:rsidRDefault="00000000" w14:paraId="1BB62477" w14:textId="77777777">
            <w:pPr>
              <w:widowControl w:val="0"/>
              <w:pBdr>
                <w:top w:val="nil"/>
                <w:left w:val="nil"/>
                <w:bottom w:val="nil"/>
                <w:right w:val="nil"/>
                <w:between w:val="nil"/>
              </w:pBdr>
              <w:spacing w:before="0" w:line="240" w:lineRule="auto"/>
              <w:rPr>
                <w:b/>
                <w:sz w:val="20"/>
                <w:szCs w:val="20"/>
              </w:rPr>
            </w:pPr>
            <w:r>
              <w:rPr>
                <w:rFonts w:ascii="Arial Unicode MS" w:hAnsi="Arial Unicode MS" w:eastAsia="Arial Unicode MS" w:cs="Arial Unicode MS"/>
                <w:b/>
                <w:sz w:val="28"/>
                <w:szCs w:val="28"/>
              </w:rPr>
              <w:lastRenderedPageBreak/>
              <w:t>ㅡ</w:t>
            </w:r>
          </w:p>
          <w:p w:rsidR="005021E9" w:rsidRDefault="00000000" w14:paraId="35A1A1BA" w14:textId="77777777">
            <w:pPr>
              <w:pStyle w:val="Heading1"/>
              <w:keepNext w:val="0"/>
              <w:keepLines w:val="0"/>
              <w:widowControl w:val="0"/>
              <w:pBdr>
                <w:top w:val="nil"/>
                <w:left w:val="nil"/>
                <w:bottom w:val="nil"/>
                <w:right w:val="nil"/>
                <w:between w:val="nil"/>
              </w:pBdr>
            </w:pPr>
            <w:bookmarkStart w:name="_tk538brb1kdf" w:colFirst="0" w:colLast="0" w:id="11"/>
            <w:bookmarkEnd w:id="11"/>
            <w:r>
              <w:t>AREAS OF FOCUS</w:t>
            </w:r>
          </w:p>
        </w:tc>
        <w:tc>
          <w:tcPr>
            <w:tcW w:w="6554" w:type="dxa"/>
            <w:tcBorders>
              <w:top w:val="nil"/>
              <w:left w:val="nil"/>
              <w:bottom w:val="nil"/>
              <w:right w:val="nil"/>
            </w:tcBorders>
            <w:shd w:val="clear" w:color="auto" w:fill="auto"/>
            <w:tcMar>
              <w:top w:w="100" w:type="dxa"/>
              <w:left w:w="100" w:type="dxa"/>
              <w:bottom w:w="100" w:type="dxa"/>
              <w:right w:w="100" w:type="dxa"/>
            </w:tcMar>
          </w:tcPr>
          <w:p w:rsidRPr="00D73906" w:rsidR="00D73906" w:rsidP="00D73906" w:rsidRDefault="00000000" w14:paraId="1D0594FB" w14:textId="116F8DE9">
            <w:pPr>
              <w:widowControl w:val="0"/>
              <w:pBdr>
                <w:top w:val="nil"/>
                <w:left w:val="nil"/>
                <w:bottom w:val="nil"/>
                <w:right w:val="nil"/>
                <w:between w:val="nil"/>
              </w:pBdr>
              <w:spacing w:before="0"/>
              <w:rPr>
                <w:sz w:val="20"/>
                <w:szCs w:val="20"/>
              </w:rPr>
            </w:pPr>
            <w:r>
              <w:rPr>
                <w:noProof/>
                <w:sz w:val="20"/>
                <w:szCs w:val="20"/>
              </w:rPr>
              <w:drawing>
                <wp:inline distT="114300" distB="114300" distL="114300" distR="114300" wp14:anchorId="78E2F9C9" wp14:editId="36959D4A">
                  <wp:extent cx="3981450" cy="25400"/>
                  <wp:effectExtent l="0" t="0" r="0" b="0"/>
                  <wp:docPr id="3" name="image3.png" descr="" title=""/>
                  <wp:cNvGraphicFramePr/>
                  <a:graphic xmlns:a="http://schemas.openxmlformats.org/drawingml/2006/main">
                    <a:graphicData uri="http://schemas.openxmlformats.org/drawingml/2006/picture">
                      <pic:pic xmlns:pic="http://schemas.openxmlformats.org/drawingml/2006/picture">
                        <pic:nvPicPr>
                          <pic:cNvPr id="0" name="image3.png" descr="가로선"/>
                          <pic:cNvPicPr preferRelativeResize="0"/>
                        </pic:nvPicPr>
                        <pic:blipFill>
                          <a:blip r:embed="rId5"/>
                          <a:srcRect/>
                          <a:stretch>
                            <a:fillRect/>
                          </a:stretch>
                        </pic:blipFill>
                        <pic:spPr>
                          <a:xfrm>
                            <a:off x="0" y="0"/>
                            <a:ext cx="3981450" cy="25400"/>
                          </a:xfrm>
                          <a:prstGeom prst="rect">
                            <a:avLst/>
                          </a:prstGeom>
                          <a:ln/>
                        </pic:spPr>
                      </pic:pic>
                    </a:graphicData>
                  </a:graphic>
                </wp:inline>
              </w:drawing>
            </w:r>
            <w:bookmarkStart w:name="_r7oinwx5vtl9" w:colFirst="0" w:colLast="0" w:id="12"/>
            <w:bookmarkEnd w:id="12"/>
            <w:r w:rsidRPr="00D73906" w:rsidR="00D73906">
              <w:rPr>
                <w:rFonts w:eastAsia="Lato"/>
                <w:b/>
              </w:rPr>
              <w:t xml:space="preserve">Xin's practice focuses on advising high-growth companies and investors in life science, healthcare, </w:t>
            </w:r>
            <w:r w:rsidR="00D5408A">
              <w:rPr>
                <w:rFonts w:hint="eastAsia"/>
                <w:b/>
              </w:rPr>
              <w:t xml:space="preserve">cosmetics, </w:t>
            </w:r>
            <w:r w:rsidRPr="00D73906" w:rsidR="00D73906">
              <w:rPr>
                <w:rFonts w:eastAsia="Lato"/>
                <w:b/>
              </w:rPr>
              <w:t>E-commerce, and technology industries globally. As part of the firm's US Government Enforcement Practice, he has represented many global companies during high-stake US government investigations (including actions initiated by the US Congress, U.S. Department of Justice (DOJ), and U.S. Food and Drug Administration (FDA)) around the world. Xin also has a strong track record in US consumer product recall matters, and with a deep understanding of the intricacies involved in navigating the complex and interrelated legal and scientific issues, Xin can creatively and effectively represent companies in these bet-the-company cases.</w:t>
            </w:r>
          </w:p>
          <w:p w:rsidRPr="00D73906" w:rsidR="00D73906" w:rsidP="00D73906" w:rsidRDefault="00D73906" w14:paraId="7A31128F" w14:textId="77777777">
            <w:pPr>
              <w:pStyle w:val="Heading2"/>
              <w:widowControl w:val="0"/>
              <w:pBdr>
                <w:top w:val="nil"/>
                <w:left w:val="nil"/>
                <w:bottom w:val="nil"/>
                <w:right w:val="nil"/>
                <w:between w:val="nil"/>
              </w:pBdr>
            </w:pPr>
            <w:r w:rsidRPr="00D73906">
              <w:lastRenderedPageBreak/>
              <w:t>As a seasoned US government regulatory and enforcement counsel, Xin works closely with global companies with novel pharmaceutical, medical device, food, and cosmetic applications that require US government's pre-market approval or clearance and FDA Current Good Manufacturing Practices (cGMP) compliance. Xin has extensive experience advising both emerging and established companies on the strategy with launching and promoting innovative products such as cell-cultured meat, cellular and gene therapy products and AI/ML-enabled medical devices. Xin also draws on his scientific expertise and experience to provide clients with practical regulatory advice regarding compliance with federal and state health care fraud and abuse law, particularly under the federal Anti-Kickback Statute (AKS).</w:t>
            </w:r>
          </w:p>
          <w:p w:rsidRPr="00D73906" w:rsidR="00D73906" w:rsidP="00D73906" w:rsidRDefault="00D73906" w14:paraId="47A1ECB0" w14:textId="77777777">
            <w:pPr>
              <w:pStyle w:val="Heading2"/>
              <w:widowControl w:val="0"/>
              <w:pBdr>
                <w:top w:val="nil"/>
                <w:left w:val="nil"/>
                <w:bottom w:val="nil"/>
                <w:right w:val="nil"/>
                <w:between w:val="nil"/>
              </w:pBdr>
              <w:rPr>
                <w:bCs/>
              </w:rPr>
            </w:pPr>
            <w:r w:rsidRPr="00D73906">
              <w:rPr>
                <w:bCs/>
              </w:rPr>
              <w:t>Representative Legal Matters</w:t>
            </w:r>
          </w:p>
          <w:p w:rsidRPr="00D73906" w:rsidR="00D73906" w:rsidP="00D73906" w:rsidRDefault="00D73906" w14:paraId="2A01F5C7" w14:textId="77777777">
            <w:pPr>
              <w:pStyle w:val="Heading2"/>
              <w:widowControl w:val="0"/>
              <w:pBdr>
                <w:top w:val="nil"/>
                <w:left w:val="nil"/>
                <w:bottom w:val="nil"/>
                <w:right w:val="nil"/>
                <w:between w:val="nil"/>
              </w:pBdr>
            </w:pPr>
            <w:r w:rsidRPr="00D73906">
              <w:t>Xin handled the following matters</w:t>
            </w:r>
          </w:p>
          <w:p w:rsidRPr="00D73906" w:rsidR="00D73906" w:rsidP="00D73906" w:rsidRDefault="00D73906" w14:paraId="283EA4F7" w14:textId="77777777">
            <w:pPr>
              <w:pStyle w:val="Heading2"/>
              <w:widowControl w:val="0"/>
              <w:numPr>
                <w:ilvl w:val="0"/>
                <w:numId w:val="1"/>
              </w:numPr>
              <w:pBdr>
                <w:top w:val="nil"/>
                <w:left w:val="nil"/>
                <w:bottom w:val="nil"/>
                <w:right w:val="nil"/>
                <w:between w:val="nil"/>
              </w:pBdr>
            </w:pPr>
            <w:r w:rsidRPr="00D73906">
              <w:t>Successfully helped a global technology company in conducting internal investigation for legal compliance and engaging FDA for concurrence of voluntary corrective actions to address potential violations.</w:t>
            </w:r>
          </w:p>
          <w:p w:rsidRPr="00D73906" w:rsidR="00D73906" w:rsidP="00D73906" w:rsidRDefault="00D73906" w14:paraId="064B7120" w14:textId="77777777">
            <w:pPr>
              <w:pStyle w:val="Heading2"/>
              <w:widowControl w:val="0"/>
              <w:numPr>
                <w:ilvl w:val="0"/>
                <w:numId w:val="1"/>
              </w:numPr>
              <w:pBdr>
                <w:top w:val="nil"/>
                <w:left w:val="nil"/>
                <w:bottom w:val="nil"/>
                <w:right w:val="nil"/>
                <w:between w:val="nil"/>
              </w:pBdr>
            </w:pPr>
            <w:r w:rsidRPr="00D73906">
              <w:t>Advised Vandemoortele, a leading European family-owned food group, in a strategic partnership with Banneton, a high-quality manufacturer of premium freezer-to-oven croissants, Danishes and pastries in North America</w:t>
            </w:r>
          </w:p>
          <w:p w:rsidRPr="00D73906" w:rsidR="00D73906" w:rsidP="00D73906" w:rsidRDefault="00D73906" w14:paraId="173F807D" w14:textId="77777777">
            <w:pPr>
              <w:pStyle w:val="Heading2"/>
              <w:widowControl w:val="0"/>
              <w:numPr>
                <w:ilvl w:val="0"/>
                <w:numId w:val="1"/>
              </w:numPr>
              <w:pBdr>
                <w:top w:val="nil"/>
                <w:left w:val="nil"/>
                <w:bottom w:val="nil"/>
                <w:right w:val="nil"/>
                <w:between w:val="nil"/>
              </w:pBdr>
            </w:pPr>
            <w:r w:rsidRPr="00D73906">
              <w:t>Advised Takeda in connection with its worldwide license and collaboration agreement with Protagonist Therapeutics, Inc., for the development and commercialization of rusfertide.</w:t>
            </w:r>
          </w:p>
          <w:p w:rsidRPr="00D73906" w:rsidR="00D73906" w:rsidP="00D73906" w:rsidRDefault="00D73906" w14:paraId="7A310729" w14:textId="77777777">
            <w:pPr>
              <w:pStyle w:val="Heading2"/>
              <w:widowControl w:val="0"/>
              <w:numPr>
                <w:ilvl w:val="0"/>
                <w:numId w:val="1"/>
              </w:numPr>
              <w:pBdr>
                <w:top w:val="nil"/>
                <w:left w:val="nil"/>
                <w:bottom w:val="nil"/>
                <w:right w:val="nil"/>
                <w:between w:val="nil"/>
              </w:pBdr>
            </w:pPr>
            <w:r w:rsidRPr="00D73906">
              <w:t>Advised a global medical device company on its strategy of establishing compliance with the US healthcare fraud and abuse laws for selecting advisory board members.</w:t>
            </w:r>
          </w:p>
          <w:p w:rsidRPr="00D73906" w:rsidR="00D73906" w:rsidP="00D73906" w:rsidRDefault="00D73906" w14:paraId="45ECA23C" w14:textId="77777777">
            <w:pPr>
              <w:pStyle w:val="Heading2"/>
              <w:widowControl w:val="0"/>
              <w:numPr>
                <w:ilvl w:val="0"/>
                <w:numId w:val="1"/>
              </w:numPr>
              <w:pBdr>
                <w:top w:val="nil"/>
                <w:left w:val="nil"/>
                <w:bottom w:val="nil"/>
                <w:right w:val="nil"/>
                <w:between w:val="nil"/>
              </w:pBdr>
            </w:pPr>
            <w:r w:rsidRPr="00D73906">
              <w:t>Advised a leading global E-commerce company on its strategy with global regulatory risk compliance and mitigation for consumer products.</w:t>
            </w:r>
          </w:p>
          <w:p w:rsidRPr="00D73906" w:rsidR="00D73906" w:rsidP="00D73906" w:rsidRDefault="00D73906" w14:paraId="2218B8D5" w14:textId="77777777">
            <w:pPr>
              <w:pStyle w:val="Heading2"/>
              <w:widowControl w:val="0"/>
              <w:numPr>
                <w:ilvl w:val="0"/>
                <w:numId w:val="1"/>
              </w:numPr>
              <w:pBdr>
                <w:top w:val="nil"/>
                <w:left w:val="nil"/>
                <w:bottom w:val="nil"/>
                <w:right w:val="nil"/>
                <w:between w:val="nil"/>
              </w:pBdr>
            </w:pPr>
            <w:r w:rsidRPr="00D73906">
              <w:t>Successfully helped a global pharmaceutical company in resolving FDA Warning Letter for drug cGMP violations and delisting from Import Alert.</w:t>
            </w:r>
          </w:p>
          <w:p w:rsidRPr="00D73906" w:rsidR="00D73906" w:rsidP="00D73906" w:rsidRDefault="00D73906" w14:paraId="29777F79" w14:textId="77777777">
            <w:pPr>
              <w:pStyle w:val="Heading2"/>
              <w:widowControl w:val="0"/>
              <w:numPr>
                <w:ilvl w:val="0"/>
                <w:numId w:val="1"/>
              </w:numPr>
              <w:pBdr>
                <w:top w:val="nil"/>
                <w:left w:val="nil"/>
                <w:bottom w:val="nil"/>
                <w:right w:val="nil"/>
                <w:between w:val="nil"/>
              </w:pBdr>
            </w:pPr>
            <w:r w:rsidRPr="00D73906">
              <w:t xml:space="preserve">Successfully helped a global food and beverage company in obtaining FDA's concurrence for conducting </w:t>
            </w:r>
            <w:r w:rsidRPr="00D73906">
              <w:lastRenderedPageBreak/>
              <w:t>a voluntary market withdrawal instead of a nationwide product recall.</w:t>
            </w:r>
          </w:p>
          <w:p w:rsidRPr="00D73906" w:rsidR="00D73906" w:rsidP="00D73906" w:rsidRDefault="00D73906" w14:paraId="6862125B" w14:textId="77777777">
            <w:pPr>
              <w:pStyle w:val="Heading2"/>
              <w:widowControl w:val="0"/>
              <w:numPr>
                <w:ilvl w:val="0"/>
                <w:numId w:val="1"/>
              </w:numPr>
              <w:pBdr>
                <w:top w:val="nil"/>
                <w:left w:val="nil"/>
                <w:bottom w:val="nil"/>
                <w:right w:val="nil"/>
                <w:between w:val="nil"/>
              </w:pBdr>
            </w:pPr>
            <w:r w:rsidRPr="00D73906">
              <w:t>Advised a dietary supplement company during a voluntary nationwide product recall and helped implement corrective actions.</w:t>
            </w:r>
          </w:p>
          <w:p w:rsidRPr="00D73906" w:rsidR="00D73906" w:rsidP="00D73906" w:rsidRDefault="00D73906" w14:paraId="15671F41" w14:textId="77777777">
            <w:pPr>
              <w:pStyle w:val="Heading2"/>
              <w:widowControl w:val="0"/>
              <w:numPr>
                <w:ilvl w:val="0"/>
                <w:numId w:val="1"/>
              </w:numPr>
              <w:pBdr>
                <w:top w:val="nil"/>
                <w:left w:val="nil"/>
                <w:bottom w:val="nil"/>
                <w:right w:val="nil"/>
                <w:between w:val="nil"/>
              </w:pBdr>
            </w:pPr>
            <w:r w:rsidRPr="00D73906">
              <w:t>Successfully obtained FDA's favorable review of intended uses of novel food additives, generally recognized as safe substances (GRAS), and food contact substances (FCS) in foods and beverages.</w:t>
            </w:r>
          </w:p>
          <w:p w:rsidRPr="00D73906" w:rsidR="00D73906" w:rsidP="00D73906" w:rsidRDefault="00D73906" w14:paraId="3026AD32" w14:textId="77777777">
            <w:pPr>
              <w:pStyle w:val="Heading2"/>
              <w:widowControl w:val="0"/>
              <w:numPr>
                <w:ilvl w:val="0"/>
                <w:numId w:val="1"/>
              </w:numPr>
              <w:pBdr>
                <w:top w:val="nil"/>
                <w:left w:val="nil"/>
                <w:bottom w:val="nil"/>
                <w:right w:val="nil"/>
                <w:between w:val="nil"/>
              </w:pBdr>
            </w:pPr>
            <w:r w:rsidRPr="00D73906">
              <w:t>Developed legal strategies in helping consumer products companies and trade associations establish compliance with California's Proposition 65 warning and federal and state laws and regulations involving heavy metals and PFAS.</w:t>
            </w:r>
          </w:p>
          <w:p w:rsidRPr="00D73906" w:rsidR="00D73906" w:rsidP="00D73906" w:rsidRDefault="00D73906" w14:paraId="56CF33ED" w14:textId="77777777">
            <w:pPr>
              <w:pStyle w:val="Heading2"/>
              <w:widowControl w:val="0"/>
              <w:numPr>
                <w:ilvl w:val="0"/>
                <w:numId w:val="1"/>
              </w:numPr>
              <w:pBdr>
                <w:top w:val="nil"/>
                <w:left w:val="nil"/>
                <w:bottom w:val="nil"/>
                <w:right w:val="nil"/>
                <w:between w:val="nil"/>
              </w:pBdr>
            </w:pPr>
            <w:r w:rsidRPr="00D73906">
              <w:t>Successfully helped global life sciences companies in developing response to NMPA (China) enforcement actions to narrow the scope of follow-up actions; developed premarket strategy of new drug products and advised on one of the first drug recalls in China conducted by a global pharmaceutical company.</w:t>
            </w:r>
          </w:p>
          <w:p w:rsidR="005021E9" w:rsidRDefault="005021E9" w14:paraId="7494AB7C" w14:textId="6C769A2D">
            <w:pPr>
              <w:widowControl w:val="0"/>
              <w:spacing w:before="100"/>
              <w:rPr>
                <w:sz w:val="20"/>
                <w:szCs w:val="20"/>
              </w:rPr>
            </w:pPr>
          </w:p>
        </w:tc>
      </w:tr>
    </w:tbl>
    <w:p w:rsidR="005021E9" w:rsidRDefault="005021E9" w14:paraId="02BB6EA0" w14:textId="77777777">
      <w:pPr>
        <w:pBdr>
          <w:top w:val="nil"/>
          <w:left w:val="nil"/>
          <w:bottom w:val="nil"/>
          <w:right w:val="nil"/>
          <w:between w:val="nil"/>
        </w:pBdr>
        <w:spacing w:before="0"/>
      </w:pPr>
    </w:p>
    <w:sectPr w:rsidR="005021E9">
      <w:pgSz w:w="11906" w:h="16838"/>
      <w:pgMar w:top="720" w:right="1077" w:bottom="720" w:left="107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44181"/>
    <w:multiLevelType w:val="multilevel"/>
    <w:tmpl w:val="6DA6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75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E9"/>
    <w:rsid w:val="005021E9"/>
    <w:rsid w:val="00A8432F"/>
    <w:rsid w:val="00D5408A"/>
    <w:rsid w:val="00D73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9140"/>
  <w15:docId w15:val="{7AEDDAF5-928E-4D26-A050-28ED6E59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hAnsi="Lato" w:cs="Lato" w:eastAsiaTheme="minorEastAsia"/>
        <w:sz w:val="22"/>
        <w:szCs w:val="22"/>
        <w:lang w:val="ko" w:eastAsia="zh-CN"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80"/>
      <w:outlineLvl w:val="0"/>
    </w:pPr>
    <w:rPr>
      <w:rFonts w:ascii="Raleway" w:hAnsi="Raleway" w:eastAsia="Raleway" w:cs="Raleway"/>
      <w:b/>
      <w:sz w:val="24"/>
      <w:szCs w:val="24"/>
    </w:rPr>
  </w:style>
  <w:style w:type="paragraph" w:styleId="Heading2">
    <w:name w:val="heading 2"/>
    <w:basedOn w:val="Normal"/>
    <w:next w:val="Normal"/>
    <w:uiPriority w:val="9"/>
    <w:unhideWhenUsed/>
    <w:qFormat/>
    <w:pPr>
      <w:keepNext/>
      <w:keepLines/>
      <w:outlineLvl w:val="1"/>
    </w:pPr>
    <w:rPr>
      <w:rFonts w:eastAsia="Lato"/>
      <w:b/>
    </w:rPr>
  </w:style>
  <w:style w:type="paragraph" w:styleId="Heading3">
    <w:name w:val="heading 3"/>
    <w:basedOn w:val="Normal"/>
    <w:next w:val="Normal"/>
    <w:uiPriority w:val="9"/>
    <w:unhideWhenUsed/>
    <w:qFormat/>
    <w:pPr>
      <w:keepNext/>
      <w:keepLines/>
      <w:outlineLvl w:val="2"/>
    </w:pPr>
    <w:rPr>
      <w:rFonts w:eastAsia="Lato"/>
      <w:color w:val="666666"/>
      <w:sz w:val="18"/>
      <w:szCs w:val="18"/>
    </w:rPr>
  </w:style>
  <w:style w:type="paragraph" w:styleId="Heading4">
    <w:name w:val="heading 4"/>
    <w:basedOn w:val="Normal"/>
    <w:next w:val="Normal"/>
    <w:uiPriority w:val="9"/>
    <w:semiHidden/>
    <w:unhideWhenUsed/>
    <w:qFormat/>
    <w:pPr>
      <w:keepNext/>
      <w:keepLines/>
      <w:spacing w:before="160"/>
      <w:outlineLvl w:val="3"/>
    </w:pPr>
    <w:rPr>
      <w:rFonts w:ascii="Trebuchet MS" w:hAnsi="Trebuchet MS" w:eastAsia="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hAnsi="Trebuchet MS" w:eastAsia="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hAnsi="Trebuchet MS" w:eastAsia="Trebuchet MS" w:cs="Trebuchet MS"/>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line="240" w:lineRule="auto"/>
    </w:pPr>
    <w:rPr>
      <w:rFonts w:ascii="Raleway" w:hAnsi="Raleway" w:eastAsia="Raleway" w:cs="Raleway"/>
      <w:b/>
      <w:sz w:val="48"/>
      <w:szCs w:val="48"/>
    </w:rPr>
  </w:style>
  <w:style w:type="paragraph" w:styleId="Subtitle">
    <w:name w:val="Subtitle"/>
    <w:basedOn w:val="Normal"/>
    <w:next w:val="Normal"/>
    <w:uiPriority w:val="11"/>
    <w:qFormat/>
    <w:pPr>
      <w:keepNext/>
      <w:keepLines/>
      <w:spacing w:before="60" w:line="240" w:lineRule="auto"/>
    </w:pPr>
    <w:rPr>
      <w:rFonts w:ascii="Raleway" w:hAnsi="Raleway" w:eastAsia="Raleway" w:cs="Raleway"/>
      <w:b/>
      <w:color w:val="F2511B"/>
      <w:sz w:val="32"/>
      <w:szCs w:val="32"/>
    </w:rPr>
  </w:style>
  <w:style w:type="table" w:styleId="a"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8432F"/>
    <w:rPr>
      <w:color w:val="0000FF" w:themeColor="hyperlink"/>
      <w:u w:val="single"/>
    </w:rPr>
  </w:style>
  <w:style w:type="character" w:styleId="UnresolvedMention">
    <w:name w:val="Unresolved Mention"/>
    <w:basedOn w:val="DefaultParagraphFont"/>
    <w:uiPriority w:val="99"/>
    <w:semiHidden/>
    <w:unhideWhenUsed/>
    <w:rsid w:val="00A84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436829">
      <w:bodyDiv w:val="1"/>
      <w:marLeft w:val="0"/>
      <w:marRight w:val="0"/>
      <w:marTop w:val="0"/>
      <w:marBottom w:val="0"/>
      <w:divBdr>
        <w:top w:val="none" w:sz="0" w:space="0" w:color="auto"/>
        <w:left w:val="none" w:sz="0" w:space="0" w:color="auto"/>
        <w:bottom w:val="none" w:sz="0" w:space="0" w:color="auto"/>
        <w:right w:val="none" w:sz="0" w:space="0" w:color="auto"/>
      </w:divBdr>
      <w:divsChild>
        <w:div w:id="1133712563">
          <w:marLeft w:val="0"/>
          <w:marRight w:val="0"/>
          <w:marTop w:val="480"/>
          <w:marBottom w:val="0"/>
          <w:divBdr>
            <w:top w:val="none" w:sz="0" w:space="0" w:color="auto"/>
            <w:left w:val="none" w:sz="0" w:space="0" w:color="auto"/>
            <w:bottom w:val="none" w:sz="0" w:space="0" w:color="auto"/>
            <w:right w:val="none" w:sz="0" w:space="0" w:color="auto"/>
          </w:divBdr>
          <w:divsChild>
            <w:div w:id="1724527408">
              <w:marLeft w:val="0"/>
              <w:marRight w:val="0"/>
              <w:marTop w:val="426"/>
              <w:marBottom w:val="0"/>
              <w:divBdr>
                <w:top w:val="none" w:sz="0" w:space="0" w:color="auto"/>
                <w:left w:val="none" w:sz="0" w:space="0" w:color="auto"/>
                <w:bottom w:val="none" w:sz="0" w:space="0" w:color="auto"/>
                <w:right w:val="none" w:sz="0" w:space="0" w:color="auto"/>
              </w:divBdr>
            </w:div>
          </w:divsChild>
        </w:div>
        <w:div w:id="1166019425">
          <w:marLeft w:val="0"/>
          <w:marRight w:val="0"/>
          <w:marTop w:val="480"/>
          <w:marBottom w:val="0"/>
          <w:divBdr>
            <w:top w:val="none" w:sz="0" w:space="0" w:color="auto"/>
            <w:left w:val="none" w:sz="0" w:space="0" w:color="auto"/>
            <w:bottom w:val="none" w:sz="0" w:space="0" w:color="auto"/>
            <w:right w:val="none" w:sz="0" w:space="0" w:color="auto"/>
          </w:divBdr>
          <w:divsChild>
            <w:div w:id="257492937">
              <w:marLeft w:val="0"/>
              <w:marRight w:val="0"/>
              <w:marTop w:val="426"/>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in.tao@bakermckenzi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2024-07-05T02:31:35.0000000Z</dcterms:modified>
</coreProperties>
</file>