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984A" w14:textId="66627FB5" w:rsidR="00F46F89" w:rsidRDefault="000B3229" w:rsidP="00322BC6">
      <w:pPr>
        <w:rPr>
          <w:b/>
          <w:bCs/>
        </w:rPr>
      </w:pPr>
      <w:r w:rsidRPr="000B3229">
        <w:rPr>
          <w:rFonts w:hint="eastAsia"/>
          <w:b/>
          <w:bCs/>
          <w:lang w:eastAsia="ja-JP"/>
        </w:rPr>
        <w:t>「『紫外線吸</w:t>
      </w:r>
      <w:r w:rsidRPr="000B3229">
        <w:rPr>
          <w:rFonts w:ascii="새굴림" w:eastAsia="새굴림" w:hAnsi="새굴림" w:cs="새굴림" w:hint="eastAsia"/>
          <w:b/>
          <w:bCs/>
          <w:lang w:eastAsia="ja-JP"/>
        </w:rPr>
        <w:t>収剤</w:t>
      </w:r>
      <w:r w:rsidRPr="000B3229">
        <w:rPr>
          <w:rFonts w:ascii="Microsoft YaHei" w:eastAsia="Microsoft YaHei" w:hAnsi="Microsoft YaHei" w:cs="Microsoft YaHei" w:hint="eastAsia"/>
          <w:b/>
          <w:bCs/>
          <w:lang w:eastAsia="ja-JP"/>
        </w:rPr>
        <w:t>・</w:t>
      </w:r>
      <w:r w:rsidRPr="000B3229">
        <w:rPr>
          <w:rFonts w:ascii="맑은 고딕" w:eastAsia="맑은 고딕" w:hAnsi="맑은 고딕" w:cs="맑은 고딕" w:hint="eastAsia"/>
          <w:b/>
          <w:bCs/>
          <w:lang w:eastAsia="ja-JP"/>
        </w:rPr>
        <w:t>散</w:t>
      </w:r>
      <w:r w:rsidRPr="000B3229">
        <w:rPr>
          <w:rFonts w:ascii="새굴림" w:eastAsia="새굴림" w:hAnsi="새굴림" w:cs="새굴림" w:hint="eastAsia"/>
          <w:b/>
          <w:bCs/>
          <w:lang w:eastAsia="ja-JP"/>
        </w:rPr>
        <w:t>乱剤</w:t>
      </w:r>
      <w:r w:rsidRPr="000B3229">
        <w:rPr>
          <w:rFonts w:ascii="맑은 고딕" w:eastAsia="맑은 고딕" w:hAnsi="맑은 고딕" w:cs="맑은 고딕" w:hint="eastAsia"/>
          <w:b/>
          <w:bCs/>
          <w:lang w:eastAsia="ja-JP"/>
        </w:rPr>
        <w:t>』及び『ビタミン</w:t>
      </w:r>
      <w:r w:rsidRPr="000B3229">
        <w:rPr>
          <w:rFonts w:hint="eastAsia"/>
          <w:b/>
          <w:bCs/>
          <w:lang w:eastAsia="ja-JP"/>
        </w:rPr>
        <w:t>C』を配合した商品の表示基準」の「2『ビタミンC』を配合した商品の表示基準」における「注)13全成分表示を行った場合は表示できる。」の運用について</w:t>
      </w:r>
    </w:p>
    <w:p w14:paraId="4924266D" w14:textId="77777777" w:rsidR="000B3229" w:rsidRDefault="000B3229" w:rsidP="00322BC6">
      <w:pPr>
        <w:rPr>
          <w:b/>
          <w:bCs/>
        </w:rPr>
      </w:pPr>
    </w:p>
    <w:p w14:paraId="3DF82F72" w14:textId="77777777" w:rsidR="000B3229" w:rsidRPr="000B3229" w:rsidRDefault="000B3229" w:rsidP="000B3229">
      <w:pPr>
        <w:rPr>
          <w:lang w:eastAsia="ja-JP"/>
        </w:rPr>
      </w:pPr>
      <w:r w:rsidRPr="000B3229">
        <w:rPr>
          <w:rFonts w:hint="eastAsia"/>
          <w:lang w:eastAsia="ja-JP"/>
        </w:rPr>
        <w:t>表記についての運用基準を、次のように制定しましたので、お知らせします。</w:t>
      </w:r>
    </w:p>
    <w:p w14:paraId="7541001D" w14:textId="77777777" w:rsidR="000B3229" w:rsidRPr="000B3229" w:rsidRDefault="000B3229" w:rsidP="000B3229">
      <w:pPr>
        <w:jc w:val="right"/>
        <w:rPr>
          <w:rFonts w:hint="eastAsia"/>
        </w:rPr>
      </w:pPr>
      <w:r w:rsidRPr="000B3229">
        <w:rPr>
          <w:rFonts w:hint="eastAsia"/>
        </w:rPr>
        <w:t>平成18年4月13日</w:t>
      </w:r>
    </w:p>
    <w:p w14:paraId="59AE5D02" w14:textId="77777777" w:rsidR="000B3229" w:rsidRPr="000B3229" w:rsidRDefault="000B3229" w:rsidP="000B3229">
      <w:pPr>
        <w:numPr>
          <w:ilvl w:val="0"/>
          <w:numId w:val="9"/>
        </w:numPr>
        <w:rPr>
          <w:rFonts w:hint="eastAsia"/>
        </w:rPr>
      </w:pPr>
      <w:r w:rsidRPr="000B3229">
        <w:rPr>
          <w:rFonts w:hint="eastAsia"/>
        </w:rPr>
        <w:t>基本的な考え方</w:t>
      </w:r>
    </w:p>
    <w:p w14:paraId="1132F4F7" w14:textId="77777777" w:rsidR="000B3229" w:rsidRPr="000B3229" w:rsidRDefault="000B3229" w:rsidP="000B3229">
      <w:pPr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注）13「全成分表示を行った場合は表示できる。」の解</w:t>
      </w:r>
      <w:r w:rsidRPr="000B3229">
        <w:rPr>
          <w:rFonts w:ascii="새굴림" w:eastAsia="새굴림" w:hAnsi="새굴림" w:cs="새굴림" w:hint="eastAsia"/>
          <w:lang w:eastAsia="ja-JP"/>
        </w:rPr>
        <w:t>釈</w:t>
      </w:r>
      <w:r w:rsidRPr="000B3229">
        <w:rPr>
          <w:rFonts w:ascii="맑은 고딕" w:eastAsia="맑은 고딕" w:hAnsi="맑은 고딕" w:cs="맑은 고딕" w:hint="eastAsia"/>
          <w:lang w:eastAsia="ja-JP"/>
        </w:rPr>
        <w:t>については、「ビタミン</w:t>
      </w:r>
      <w:r w:rsidRPr="000B3229">
        <w:rPr>
          <w:rFonts w:hint="eastAsia"/>
          <w:lang w:eastAsia="ja-JP"/>
        </w:rPr>
        <w:t>C及びその誘導体」を製品の安定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（抗酸化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等）として配合し、全成分表示の中に「ビタミン</w:t>
      </w:r>
      <w:r w:rsidRPr="000B3229">
        <w:rPr>
          <w:rFonts w:hint="eastAsia"/>
          <w:lang w:eastAsia="ja-JP"/>
        </w:rPr>
        <w:t>C（表示名</w:t>
      </w:r>
      <w:r w:rsidRPr="000B3229">
        <w:rPr>
          <w:rFonts w:ascii="새굴림" w:eastAsia="새굴림" w:hAnsi="새굴림" w:cs="새굴림" w:hint="eastAsia"/>
          <w:lang w:eastAsia="ja-JP"/>
        </w:rPr>
        <w:t>称</w:t>
      </w:r>
      <w:r w:rsidRPr="000B3229">
        <w:rPr>
          <w:rFonts w:ascii="맑은 고딕" w:eastAsia="맑은 고딕" w:hAnsi="맑은 고딕" w:cs="맑은 고딕" w:hint="eastAsia"/>
          <w:lang w:eastAsia="ja-JP"/>
        </w:rPr>
        <w:t>アスコルビン酸）及びその誘導体」の成分名が表示されている化粧品にあっては、消費者に「ビタミン</w:t>
      </w:r>
      <w:r w:rsidRPr="000B3229">
        <w:rPr>
          <w:rFonts w:hint="eastAsia"/>
          <w:lang w:eastAsia="ja-JP"/>
        </w:rPr>
        <w:t>C及びその誘導体」の配合目的を</w:t>
      </w:r>
      <w:r w:rsidRPr="000B3229">
        <w:rPr>
          <w:rFonts w:ascii="새굴림" w:eastAsia="새굴림" w:hAnsi="새굴림" w:cs="새굴림" w:hint="eastAsia"/>
          <w:lang w:eastAsia="ja-JP"/>
        </w:rPr>
        <w:t>説</w:t>
      </w:r>
      <w:r w:rsidRPr="000B3229">
        <w:rPr>
          <w:rFonts w:ascii="맑은 고딕" w:eastAsia="맑은 고딕" w:hAnsi="맑은 고딕" w:cs="맑은 고딕" w:hint="eastAsia"/>
          <w:lang w:eastAsia="ja-JP"/>
        </w:rPr>
        <w:t>明するために、</w:t>
      </w:r>
      <w:r w:rsidRPr="000B3229">
        <w:rPr>
          <w:rFonts w:ascii="새굴림" w:eastAsia="새굴림" w:hAnsi="새굴림" w:cs="새굴림" w:hint="eastAsia"/>
          <w:lang w:eastAsia="ja-JP"/>
        </w:rPr>
        <w:t>当</w:t>
      </w:r>
      <w:r w:rsidRPr="000B3229">
        <w:rPr>
          <w:rFonts w:ascii="맑은 고딕" w:eastAsia="맑은 고딕" w:hAnsi="맑은 고딕" w:cs="맑은 고딕" w:hint="eastAsia"/>
          <w:lang w:eastAsia="ja-JP"/>
        </w:rPr>
        <w:t>該配合目的を</w:t>
      </w:r>
      <w:r w:rsidRPr="000B3229">
        <w:rPr>
          <w:rFonts w:ascii="새굴림" w:eastAsia="새굴림" w:hAnsi="새굴림" w:cs="새굴림" w:hint="eastAsia"/>
          <w:lang w:eastAsia="ja-JP"/>
        </w:rPr>
        <w:t>併</w:t>
      </w:r>
      <w:r w:rsidRPr="000B3229">
        <w:rPr>
          <w:rFonts w:ascii="맑은 고딕" w:eastAsia="맑은 고딕" w:hAnsi="맑은 고딕" w:cs="맑은 고딕" w:hint="eastAsia"/>
          <w:lang w:eastAsia="ja-JP"/>
        </w:rPr>
        <w:t>記した場合に限り「ビタミン</w:t>
      </w:r>
      <w:r w:rsidRPr="000B3229">
        <w:rPr>
          <w:rFonts w:hint="eastAsia"/>
          <w:lang w:eastAsia="ja-JP"/>
        </w:rPr>
        <w:t>C及びその誘導体」の成分名を特記して表示することができる。ただし、その場合消費者に誤認を</w:t>
      </w:r>
      <w:r w:rsidRPr="000B3229">
        <w:rPr>
          <w:rFonts w:ascii="새굴림" w:eastAsia="새굴림" w:hAnsi="새굴림" w:cs="새굴림" w:hint="eastAsia"/>
          <w:lang w:eastAsia="ja-JP"/>
        </w:rPr>
        <w:t>与</w:t>
      </w:r>
      <w:r w:rsidRPr="000B3229">
        <w:rPr>
          <w:rFonts w:ascii="맑은 고딕" w:eastAsia="맑은 고딕" w:hAnsi="맑은 고딕" w:cs="맑은 고딕" w:hint="eastAsia"/>
          <w:lang w:eastAsia="ja-JP"/>
        </w:rPr>
        <w:t>えない方法で行うものとする。</w:t>
      </w:r>
    </w:p>
    <w:p w14:paraId="6AEC5609" w14:textId="77777777" w:rsidR="000B3229" w:rsidRPr="000B3229" w:rsidRDefault="000B3229" w:rsidP="000B3229">
      <w:pPr>
        <w:numPr>
          <w:ilvl w:val="0"/>
          <w:numId w:val="9"/>
        </w:numPr>
        <w:rPr>
          <w:rFonts w:hint="eastAsia"/>
        </w:rPr>
      </w:pPr>
      <w:r w:rsidRPr="000B3229">
        <w:rPr>
          <w:rFonts w:hint="eastAsia"/>
        </w:rPr>
        <w:t>表示方法</w:t>
      </w:r>
    </w:p>
    <w:p w14:paraId="07AD7ADA" w14:textId="77777777" w:rsidR="000B3229" w:rsidRPr="000B3229" w:rsidRDefault="000B3229" w:rsidP="000B3229">
      <w:pPr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「ビタミンＣ及びその誘導体」を製品の安定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（抗酸化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等）として配合した化粧品であって、全成分表示の中に「ビタミンＣ（表示名</w:t>
      </w:r>
      <w:r w:rsidRPr="000B3229">
        <w:rPr>
          <w:rFonts w:ascii="새굴림" w:eastAsia="새굴림" w:hAnsi="새굴림" w:cs="새굴림" w:hint="eastAsia"/>
          <w:lang w:eastAsia="ja-JP"/>
        </w:rPr>
        <w:t>称</w:t>
      </w:r>
      <w:r w:rsidRPr="000B3229">
        <w:rPr>
          <w:rFonts w:ascii="맑은 고딕" w:eastAsia="맑은 고딕" w:hAnsi="맑은 고딕" w:cs="맑은 고딕" w:hint="eastAsia"/>
          <w:lang w:eastAsia="ja-JP"/>
        </w:rPr>
        <w:t>アスコルビン酸）及びその誘導体」の成分名が表示されている場合には、以下の要件を</w:t>
      </w:r>
      <w:r w:rsidRPr="000B3229">
        <w:rPr>
          <w:rFonts w:ascii="새굴림" w:eastAsia="새굴림" w:hAnsi="새굴림" w:cs="새굴림" w:hint="eastAsia"/>
          <w:lang w:eastAsia="ja-JP"/>
        </w:rPr>
        <w:t>満</w:t>
      </w:r>
      <w:r w:rsidRPr="000B3229">
        <w:rPr>
          <w:rFonts w:ascii="맑은 고딕" w:eastAsia="맑은 고딕" w:hAnsi="맑은 고딕" w:cs="맑은 고딕" w:hint="eastAsia"/>
          <w:lang w:eastAsia="ja-JP"/>
        </w:rPr>
        <w:t>たす場合に限り「ビタミンＣ及びその誘導体」の成分名を特記して表示することができる。</w:t>
      </w:r>
    </w:p>
    <w:p w14:paraId="254EC01C" w14:textId="77777777" w:rsidR="000B3229" w:rsidRPr="000B3229" w:rsidRDefault="000B3229" w:rsidP="000B3229">
      <w:pPr>
        <w:ind w:left="144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①　「製品の」の文字を付した上で、配合目的（製品の安定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＜抗酸化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等＞）を付記すること</w:t>
      </w:r>
    </w:p>
    <w:p w14:paraId="592CAD84" w14:textId="77777777" w:rsidR="000B3229" w:rsidRPr="000B3229" w:rsidRDefault="000B3229" w:rsidP="000B3229">
      <w:pPr>
        <w:ind w:left="144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②　配合目的は、事</w:t>
      </w:r>
      <w:r w:rsidRPr="000B3229">
        <w:rPr>
          <w:rFonts w:ascii="새굴림" w:eastAsia="새굴림" w:hAnsi="새굴림" w:cs="새굴림" w:hint="eastAsia"/>
          <w:lang w:eastAsia="ja-JP"/>
        </w:rPr>
        <w:t>実</w:t>
      </w:r>
      <w:r w:rsidRPr="000B3229">
        <w:rPr>
          <w:rFonts w:ascii="맑은 고딕" w:eastAsia="맑은 고딕" w:hAnsi="맑은 고딕" w:cs="맑은 고딕" w:hint="eastAsia"/>
          <w:lang w:eastAsia="ja-JP"/>
        </w:rPr>
        <w:t>であること</w:t>
      </w:r>
    </w:p>
    <w:p w14:paraId="22097566" w14:textId="77777777" w:rsidR="000B3229" w:rsidRPr="000B3229" w:rsidRDefault="000B3229" w:rsidP="000B3229">
      <w:pPr>
        <w:ind w:left="144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③　一般消費者に</w:t>
      </w:r>
      <w:r w:rsidRPr="000B3229">
        <w:rPr>
          <w:rFonts w:ascii="새굴림" w:eastAsia="새굴림" w:hAnsi="새굴림" w:cs="새굴림" w:hint="eastAsia"/>
          <w:lang w:eastAsia="ja-JP"/>
        </w:rPr>
        <w:t>対</w:t>
      </w:r>
      <w:r w:rsidRPr="000B3229">
        <w:rPr>
          <w:rFonts w:ascii="맑은 고딕" w:eastAsia="맑은 고딕" w:hAnsi="맑은 고딕" w:cs="맑은 고딕" w:hint="eastAsia"/>
          <w:lang w:eastAsia="ja-JP"/>
        </w:rPr>
        <w:t>し、配合目的と異なったことを誤認させる（誤認を</w:t>
      </w:r>
      <w:r w:rsidRPr="000B3229">
        <w:rPr>
          <w:rFonts w:ascii="새굴림" w:eastAsia="새굴림" w:hAnsi="새굴림" w:cs="새굴림" w:hint="eastAsia"/>
          <w:lang w:eastAsia="ja-JP"/>
        </w:rPr>
        <w:t>与</w:t>
      </w:r>
      <w:r w:rsidRPr="000B3229">
        <w:rPr>
          <w:rFonts w:ascii="맑은 고딕" w:eastAsia="맑은 고딕" w:hAnsi="맑은 고딕" w:cs="맑은 고딕" w:hint="eastAsia"/>
          <w:lang w:eastAsia="ja-JP"/>
        </w:rPr>
        <w:t>える）ような表示をしないこと</w:t>
      </w:r>
    </w:p>
    <w:p w14:paraId="5FE998BA" w14:textId="77777777" w:rsidR="000B3229" w:rsidRPr="000B3229" w:rsidRDefault="000B3229" w:rsidP="000B3229">
      <w:pPr>
        <w:ind w:left="144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 xml:space="preserve">④　</w:t>
      </w:r>
      <w:r w:rsidRPr="000B3229">
        <w:rPr>
          <w:rFonts w:ascii="새굴림" w:eastAsia="새굴림" w:hAnsi="새굴림" w:cs="새굴림" w:hint="eastAsia"/>
          <w:lang w:eastAsia="ja-JP"/>
        </w:rPr>
        <w:t>強</w:t>
      </w:r>
      <w:r w:rsidRPr="000B3229">
        <w:rPr>
          <w:rFonts w:ascii="맑은 고딕" w:eastAsia="맑은 고딕" w:hAnsi="맑은 고딕" w:cs="맑은 고딕" w:hint="eastAsia"/>
          <w:lang w:eastAsia="ja-JP"/>
        </w:rPr>
        <w:t>調表示</w:t>
      </w:r>
      <w:r w:rsidRPr="000B3229">
        <w:rPr>
          <w:rFonts w:ascii="Microsoft YaHei" w:eastAsia="Microsoft YaHei" w:hAnsi="Microsoft YaHei" w:cs="Microsoft YaHei" w:hint="eastAsia"/>
          <w:lang w:eastAsia="ja-JP"/>
        </w:rPr>
        <w:t>・</w:t>
      </w:r>
      <w:r w:rsidRPr="000B3229">
        <w:rPr>
          <w:rFonts w:ascii="맑은 고딕" w:eastAsia="맑은 고딕" w:hAnsi="맑은 고딕" w:cs="맑은 고딕" w:hint="eastAsia"/>
          <w:lang w:eastAsia="ja-JP"/>
        </w:rPr>
        <w:t>キャッチ表示をしないこと</w:t>
      </w:r>
    </w:p>
    <w:p w14:paraId="1F950D23" w14:textId="77777777" w:rsidR="000B3229" w:rsidRPr="000B3229" w:rsidRDefault="000B3229" w:rsidP="000B3229">
      <w:pPr>
        <w:ind w:left="144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⑤　配合目的（製品の抗酸化</w:t>
      </w:r>
      <w:r w:rsidRPr="000B3229">
        <w:rPr>
          <w:rFonts w:ascii="새굴림" w:eastAsia="새굴림" w:hAnsi="새굴림" w:cs="새굴림" w:hint="eastAsia"/>
          <w:lang w:eastAsia="ja-JP"/>
        </w:rPr>
        <w:t>剤</w:t>
      </w:r>
      <w:r w:rsidRPr="000B3229">
        <w:rPr>
          <w:rFonts w:ascii="맑은 고딕" w:eastAsia="맑은 고딕" w:hAnsi="맑은 고딕" w:cs="맑은 고딕" w:hint="eastAsia"/>
          <w:lang w:eastAsia="ja-JP"/>
        </w:rPr>
        <w:t>等）の文字の大きさは、「ビタミンＣ及びその誘導体」の文字と同等とすること</w:t>
      </w:r>
    </w:p>
    <w:p w14:paraId="3425AAF8" w14:textId="77777777" w:rsidR="000B3229" w:rsidRPr="000B3229" w:rsidRDefault="000B3229" w:rsidP="000B3229">
      <w:pPr>
        <w:ind w:left="144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⑥　配合量を表示しないこと</w:t>
      </w:r>
    </w:p>
    <w:p w14:paraId="7A86E5AC" w14:textId="60514892" w:rsidR="000B3229" w:rsidRPr="000B3229" w:rsidRDefault="000B3229" w:rsidP="000B3229">
      <w:pPr>
        <w:ind w:left="708" w:hangingChars="322" w:hanging="708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注）1</w:t>
      </w:r>
      <w:r>
        <w:rPr>
          <w:rFonts w:hint="eastAsia"/>
          <w:lang w:eastAsia="ja-JP"/>
        </w:rPr>
        <w:t xml:space="preserve"> </w:t>
      </w:r>
      <w:r w:rsidRPr="000B3229">
        <w:rPr>
          <w:rFonts w:hint="eastAsia"/>
          <w:lang w:eastAsia="ja-JP"/>
        </w:rPr>
        <w:t>③の具体例としては、例えば、「美白</w:t>
      </w:r>
      <w:r w:rsidRPr="000B3229">
        <w:rPr>
          <w:rFonts w:ascii="새굴림" w:eastAsia="새굴림" w:hAnsi="새굴림" w:cs="새굴림" w:hint="eastAsia"/>
          <w:lang w:eastAsia="ja-JP"/>
        </w:rPr>
        <w:t>効</w:t>
      </w:r>
      <w:r w:rsidRPr="000B3229">
        <w:rPr>
          <w:rFonts w:ascii="맑은 고딕" w:eastAsia="맑은 고딕" w:hAnsi="맑은 고딕" w:cs="맑은 고딕" w:hint="eastAsia"/>
          <w:lang w:eastAsia="ja-JP"/>
        </w:rPr>
        <w:t>果」につながるような、「しっとりとした白いお肌を保ちます。」といった、美白</w:t>
      </w:r>
      <w:r w:rsidRPr="000B3229">
        <w:rPr>
          <w:rFonts w:ascii="새굴림" w:eastAsia="새굴림" w:hAnsi="새굴림" w:cs="새굴림" w:hint="eastAsia"/>
          <w:lang w:eastAsia="ja-JP"/>
        </w:rPr>
        <w:t>効</w:t>
      </w:r>
      <w:r w:rsidRPr="000B3229">
        <w:rPr>
          <w:rFonts w:ascii="맑은 고딕" w:eastAsia="맑은 고딕" w:hAnsi="맑은 고딕" w:cs="맑은 고딕" w:hint="eastAsia"/>
          <w:lang w:eastAsia="ja-JP"/>
        </w:rPr>
        <w:t>果と</w:t>
      </w:r>
      <w:r w:rsidRPr="000B3229">
        <w:rPr>
          <w:rFonts w:ascii="새굴림" w:eastAsia="새굴림" w:hAnsi="새굴림" w:cs="새굴림" w:hint="eastAsia"/>
          <w:lang w:eastAsia="ja-JP"/>
        </w:rPr>
        <w:t>関</w:t>
      </w:r>
      <w:r w:rsidRPr="000B3229">
        <w:rPr>
          <w:rFonts w:ascii="맑은 고딕" w:eastAsia="맑은 고딕" w:hAnsi="맑은 고딕" w:cs="맑은 고딕" w:hint="eastAsia"/>
          <w:lang w:eastAsia="ja-JP"/>
        </w:rPr>
        <w:t>連があるように一般消費者に誤認を</w:t>
      </w:r>
      <w:r w:rsidRPr="000B3229">
        <w:rPr>
          <w:rFonts w:ascii="새굴림" w:eastAsia="새굴림" w:hAnsi="새굴림" w:cs="새굴림" w:hint="eastAsia"/>
          <w:lang w:eastAsia="ja-JP"/>
        </w:rPr>
        <w:t>与</w:t>
      </w:r>
      <w:r w:rsidRPr="000B3229">
        <w:rPr>
          <w:rFonts w:ascii="맑은 고딕" w:eastAsia="맑은 고딕" w:hAnsi="맑은 고딕" w:cs="맑은 고딕" w:hint="eastAsia"/>
          <w:lang w:eastAsia="ja-JP"/>
        </w:rPr>
        <w:t>える表示が</w:t>
      </w:r>
      <w:r w:rsidRPr="000B3229">
        <w:rPr>
          <w:rFonts w:ascii="새굴림" w:eastAsia="새굴림" w:hAnsi="새굴림" w:cs="새굴림" w:hint="eastAsia"/>
          <w:lang w:eastAsia="ja-JP"/>
        </w:rPr>
        <w:t>挙</w:t>
      </w:r>
      <w:r w:rsidRPr="000B3229">
        <w:rPr>
          <w:rFonts w:ascii="맑은 고딕" w:eastAsia="맑은 고딕" w:hAnsi="맑은 고딕" w:cs="맑은 고딕" w:hint="eastAsia"/>
          <w:lang w:eastAsia="ja-JP"/>
        </w:rPr>
        <w:t>げられる。</w:t>
      </w:r>
    </w:p>
    <w:p w14:paraId="36570015" w14:textId="77777777" w:rsidR="000B3229" w:rsidRDefault="000B3229" w:rsidP="000B3229">
      <w:pPr>
        <w:pStyle w:val="a5"/>
        <w:numPr>
          <w:ilvl w:val="0"/>
          <w:numId w:val="10"/>
        </w:numPr>
        <w:ind w:leftChars="0"/>
        <w:rPr>
          <w:lang w:eastAsia="ja-JP"/>
        </w:rPr>
      </w:pPr>
      <w:r w:rsidRPr="000B3229">
        <w:rPr>
          <w:rFonts w:hint="eastAsia"/>
          <w:lang w:eastAsia="ja-JP"/>
        </w:rPr>
        <w:lastRenderedPageBreak/>
        <w:t>④の「</w:t>
      </w:r>
      <w:r w:rsidRPr="000B3229">
        <w:rPr>
          <w:rFonts w:ascii="새굴림" w:eastAsia="새굴림" w:hAnsi="새굴림" w:cs="새굴림" w:hint="eastAsia"/>
          <w:lang w:eastAsia="ja-JP"/>
        </w:rPr>
        <w:t>強</w:t>
      </w:r>
      <w:r w:rsidRPr="000B3229">
        <w:rPr>
          <w:rFonts w:ascii="맑은 고딕" w:eastAsia="맑은 고딕" w:hAnsi="맑은 고딕" w:cs="맑은 고딕" w:hint="eastAsia"/>
          <w:lang w:eastAsia="ja-JP"/>
        </w:rPr>
        <w:t>調表示</w:t>
      </w:r>
      <w:r w:rsidRPr="000B3229">
        <w:rPr>
          <w:rFonts w:ascii="Microsoft YaHei" w:eastAsia="Microsoft YaHei" w:hAnsi="Microsoft YaHei" w:cs="Microsoft YaHei" w:hint="eastAsia"/>
          <w:lang w:eastAsia="ja-JP"/>
        </w:rPr>
        <w:t>・</w:t>
      </w:r>
      <w:r w:rsidRPr="000B3229">
        <w:rPr>
          <w:rFonts w:ascii="맑은 고딕" w:eastAsia="맑은 고딕" w:hAnsi="맑은 고딕" w:cs="맑은 고딕" w:hint="eastAsia"/>
          <w:lang w:eastAsia="ja-JP"/>
        </w:rPr>
        <w:t>キャッチ表示」とは、「ビタミン</w:t>
      </w:r>
      <w:r w:rsidRPr="000B3229">
        <w:rPr>
          <w:rFonts w:hint="eastAsia"/>
          <w:lang w:eastAsia="ja-JP"/>
        </w:rPr>
        <w:t>C及びその誘導体」の文字を他の文字に比べて大きくしたり、下線を付したり、色を付けたりして目立つように表示することをいう。</w:t>
      </w:r>
    </w:p>
    <w:p w14:paraId="41BCBC60" w14:textId="5309B44E" w:rsidR="000B3229" w:rsidRPr="000B3229" w:rsidRDefault="000B3229" w:rsidP="000B3229">
      <w:pPr>
        <w:pStyle w:val="a5"/>
        <w:numPr>
          <w:ilvl w:val="0"/>
          <w:numId w:val="10"/>
        </w:numPr>
        <w:ind w:leftChars="0"/>
        <w:rPr>
          <w:rFonts w:hint="eastAsia"/>
          <w:lang w:eastAsia="ja-JP"/>
        </w:rPr>
      </w:pPr>
      <w:r w:rsidRPr="000B3229">
        <w:rPr>
          <w:rFonts w:hint="eastAsia"/>
          <w:lang w:eastAsia="ja-JP"/>
        </w:rPr>
        <w:t>上記規定は、</w:t>
      </w:r>
      <w:r w:rsidRPr="000B3229">
        <w:rPr>
          <w:rFonts w:ascii="새굴림" w:eastAsia="새굴림" w:hAnsi="새굴림" w:cs="새굴림" w:hint="eastAsia"/>
          <w:lang w:eastAsia="ja-JP"/>
        </w:rPr>
        <w:t>医薬</w:t>
      </w:r>
      <w:r w:rsidRPr="000B3229">
        <w:rPr>
          <w:rFonts w:ascii="맑은 고딕" w:eastAsia="맑은 고딕" w:hAnsi="맑은 고딕" w:cs="맑은 고딕" w:hint="eastAsia"/>
          <w:lang w:eastAsia="ja-JP"/>
        </w:rPr>
        <w:t>部外品（</w:t>
      </w:r>
      <w:r w:rsidRPr="000B3229">
        <w:rPr>
          <w:rFonts w:ascii="새굴림" w:eastAsia="새굴림" w:hAnsi="새굴림" w:cs="새굴림" w:hint="eastAsia"/>
          <w:lang w:eastAsia="ja-JP"/>
        </w:rPr>
        <w:t>薬</w:t>
      </w:r>
      <w:r w:rsidRPr="000B3229">
        <w:rPr>
          <w:rFonts w:ascii="맑은 고딕" w:eastAsia="맑은 고딕" w:hAnsi="맑은 고딕" w:cs="맑은 고딕" w:hint="eastAsia"/>
          <w:lang w:eastAsia="ja-JP"/>
        </w:rPr>
        <w:t>用化粧品）にも準</w:t>
      </w:r>
      <w:r w:rsidRPr="000B3229">
        <w:rPr>
          <w:rFonts w:hint="eastAsia"/>
          <w:lang w:eastAsia="ja-JP"/>
        </w:rPr>
        <w:t>用する。</w:t>
      </w:r>
    </w:p>
    <w:sectPr w:rsidR="000B3229" w:rsidRPr="000B32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268"/>
    <w:multiLevelType w:val="multilevel"/>
    <w:tmpl w:val="0F20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D0D3A"/>
    <w:multiLevelType w:val="multilevel"/>
    <w:tmpl w:val="FE80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95A3A"/>
    <w:multiLevelType w:val="multilevel"/>
    <w:tmpl w:val="513A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C1BF8"/>
    <w:multiLevelType w:val="multilevel"/>
    <w:tmpl w:val="5D1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57CF7"/>
    <w:multiLevelType w:val="multilevel"/>
    <w:tmpl w:val="DA22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D7DB5"/>
    <w:multiLevelType w:val="multilevel"/>
    <w:tmpl w:val="052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HAnsi" w:cstheme="minorBidi"/>
      </w:rPr>
    </w:lvl>
    <w:lvl w:ilvl="2">
      <w:start w:val="1"/>
      <w:numFmt w:val="decimalEnclosedCircle"/>
      <w:lvlText w:val="%3"/>
      <w:lvlJc w:val="left"/>
      <w:pPr>
        <w:tabs>
          <w:tab w:val="num" w:pos="2204"/>
        </w:tabs>
        <w:ind w:left="2204" w:hanging="360"/>
      </w:pPr>
      <w:rPr>
        <w:rFonts w:ascii="FangSong" w:eastAsia="FangSong" w:hAnsi="FangSong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056EA"/>
    <w:multiLevelType w:val="multilevel"/>
    <w:tmpl w:val="18A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E3F1E"/>
    <w:multiLevelType w:val="hybridMultilevel"/>
    <w:tmpl w:val="8174D844"/>
    <w:lvl w:ilvl="0" w:tplc="3C4ECCE2">
      <w:start w:val="2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BF466D6"/>
    <w:multiLevelType w:val="multilevel"/>
    <w:tmpl w:val="FA6E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10041"/>
    <w:multiLevelType w:val="multilevel"/>
    <w:tmpl w:val="D6A2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173624">
    <w:abstractNumId w:val="6"/>
  </w:num>
  <w:num w:numId="2" w16cid:durableId="1029527603">
    <w:abstractNumId w:val="3"/>
  </w:num>
  <w:num w:numId="3" w16cid:durableId="1908300923">
    <w:abstractNumId w:val="9"/>
  </w:num>
  <w:num w:numId="4" w16cid:durableId="1933930667">
    <w:abstractNumId w:val="2"/>
  </w:num>
  <w:num w:numId="5" w16cid:durableId="501437198">
    <w:abstractNumId w:val="5"/>
  </w:num>
  <w:num w:numId="6" w16cid:durableId="869143624">
    <w:abstractNumId w:val="1"/>
  </w:num>
  <w:num w:numId="7" w16cid:durableId="1485583832">
    <w:abstractNumId w:val="4"/>
  </w:num>
  <w:num w:numId="8" w16cid:durableId="1579049386">
    <w:abstractNumId w:val="0"/>
  </w:num>
  <w:num w:numId="9" w16cid:durableId="1010989896">
    <w:abstractNumId w:val="8"/>
  </w:num>
  <w:num w:numId="10" w16cid:durableId="744839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F0"/>
    <w:rsid w:val="000B3229"/>
    <w:rsid w:val="00322BC6"/>
    <w:rsid w:val="003E6EBE"/>
    <w:rsid w:val="00596C7F"/>
    <w:rsid w:val="005E2629"/>
    <w:rsid w:val="00615EF0"/>
    <w:rsid w:val="007B5828"/>
    <w:rsid w:val="00821B23"/>
    <w:rsid w:val="00833699"/>
    <w:rsid w:val="00C017E5"/>
    <w:rsid w:val="00ED5852"/>
    <w:rsid w:val="00F30952"/>
    <w:rsid w:val="00F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56BE"/>
  <w15:chartTrackingRefBased/>
  <w15:docId w15:val="{45EB01FA-587B-4F40-B48A-B828D57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BC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2BC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46F8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5</cp:revision>
  <dcterms:created xsi:type="dcterms:W3CDTF">2024-09-26T07:09:00Z</dcterms:created>
  <dcterms:modified xsi:type="dcterms:W3CDTF">2024-09-26T07:41:00Z</dcterms:modified>
</cp:coreProperties>
</file>