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42D38" w14:textId="77777777" w:rsidR="003F450E" w:rsidRPr="003F450E" w:rsidRDefault="003F450E" w:rsidP="003F450E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bookmarkStart w:id="0" w:name="_GoBack"/>
      <w:bookmarkEnd w:id="0"/>
      <w:r w:rsidRPr="003F450E">
        <w:rPr>
          <w:rFonts w:ascii="맑은 고딕" w:eastAsia="맑은 고딕" w:hAnsi="맑은 고딕" w:hint="eastAsia"/>
          <w:sz w:val="20"/>
          <w:szCs w:val="20"/>
        </w:rPr>
        <w:t>2010년11월19일</w:t>
      </w:r>
    </w:p>
    <w:p w14:paraId="5F678370" w14:textId="77777777" w:rsidR="003F450E" w:rsidRPr="003F450E" w:rsidRDefault="003F450E" w:rsidP="003F450E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일본화장품공업연합회 산하회원 여러분</w:t>
      </w:r>
    </w:p>
    <w:p w14:paraId="212A49D3" w14:textId="77777777" w:rsidR="003F450E" w:rsidRPr="003F450E" w:rsidRDefault="003F450E" w:rsidP="003F450E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6E5EF59F" w14:textId="77777777" w:rsidR="003F450E" w:rsidRPr="003F450E" w:rsidRDefault="003F450E" w:rsidP="003F450E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광고선전위원회 위원장</w:t>
      </w:r>
    </w:p>
    <w:p w14:paraId="4C01CA06" w14:textId="77777777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7BB02C5B" w14:textId="77777777" w:rsidR="003F450E" w:rsidRPr="003F450E" w:rsidRDefault="003F450E" w:rsidP="003F450E">
      <w:pPr>
        <w:spacing w:afterLines="50" w:after="120"/>
        <w:jc w:val="center"/>
        <w:rPr>
          <w:rFonts w:ascii="맑은 고딕" w:eastAsia="맑은 고딕" w:hAnsi="맑은 고딕"/>
          <w:bCs/>
          <w:sz w:val="20"/>
          <w:szCs w:val="20"/>
        </w:rPr>
      </w:pPr>
      <w:r w:rsidRPr="003F450E">
        <w:rPr>
          <w:rFonts w:ascii="맑은 고딕" w:eastAsia="맑은 고딕" w:hAnsi="맑은 고딕" w:hint="eastAsia"/>
          <w:bCs/>
          <w:sz w:val="20"/>
          <w:szCs w:val="20"/>
        </w:rPr>
        <w:t>화장품 특기표시에 관한 규칙의 재확인 요청</w:t>
      </w:r>
    </w:p>
    <w:p w14:paraId="30A299A4" w14:textId="77777777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68ED08B5" w14:textId="77777777" w:rsidR="003F450E" w:rsidRPr="003F450E" w:rsidRDefault="003F450E" w:rsidP="003F450E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 xml:space="preserve">화장품의 특정성분 특기표시에 대해서는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>화장품의 특정성분 특기표시에 대해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>화장품의 표시에 관한 공정경쟁규약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 및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>화장품 표시에 관한 공정경쟁규약 시행규칙(이하, 시행규칙이라고 한다)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에 근거하여 그 운용을 요청하고 있는 바이지만, 행정당국에서 그 운용에 관해 부적절한 사례가 발견된다는 지적이 있어, 개선을 요청하고 있습니다. 지적된 사례 중에는 규정 측면에서 보아 부적절하다고 판단할 수밖에 없는 것도 존재하기 때문에, 이번에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>화장품에서의 특정성분 특기표시에 관한 규칙 재확인 요청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을 하기로 했습니다. 다시 한번 특기표시의 취지를 이해하시어 적절한 표시를 하실 것을 부탁드립니다. </w:t>
      </w:r>
    </w:p>
    <w:p w14:paraId="687409AD" w14:textId="77777777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46A430B3" w14:textId="77777777" w:rsidR="003F450E" w:rsidRPr="003F450E" w:rsidRDefault="003F450E" w:rsidP="003F450E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23ED30B9" w14:textId="77777777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5D73000C" w14:textId="77777777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특정성분의 특기표시에 대해서는 특별히 아래 사항에 유의하십시오.</w:t>
      </w:r>
    </w:p>
    <w:p w14:paraId="1FD5BA35" w14:textId="712AEB70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1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특기표시는 배합된 성분에 대해서 표시한다. </w:t>
      </w:r>
    </w:p>
    <w:p w14:paraId="655541AB" w14:textId="7BA01816" w:rsidR="003F450E" w:rsidRPr="003F450E" w:rsidRDefault="003F450E" w:rsidP="003F450E">
      <w:pPr>
        <w:spacing w:afterLines="50" w:after="120"/>
        <w:ind w:leftChars="129" w:left="426" w:hangingChars="71" w:hanging="142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※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특기표시는 </w:t>
      </w:r>
      <w:r w:rsidRPr="003F450E">
        <w:rPr>
          <w:rFonts w:hint="eastAsia"/>
          <w:sz w:val="20"/>
        </w:rPr>
        <w:t>배합성분에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 대해서 인정되는 것이며, 배합성분 중에 함유되는 부수물질까지 인정된 것은 아닙니다(언급할 경우에는 오인이 없도록 충분히 유의해야 합니다)</w:t>
      </w:r>
    </w:p>
    <w:p w14:paraId="12C522BA" w14:textId="2105637F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2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특기표시를 할 수 없는 성분명칭에 유의한다. </w:t>
      </w:r>
    </w:p>
    <w:p w14:paraId="2FD1F8BC" w14:textId="10F6CBF0" w:rsidR="003F450E" w:rsidRPr="003F450E" w:rsidRDefault="003F450E" w:rsidP="003F450E">
      <w:pPr>
        <w:spacing w:afterLines="50" w:after="120"/>
        <w:ind w:leftChars="129" w:left="426" w:hangingChars="71" w:hanging="142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※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명칭에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>약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이라는 문자가 포함되는 성분 혹은 명칭이 의약품이라는 인상을 주는 성분은 특기표시가 인정되지 않습니다. 또한, 공정경쟁 규약에서는 표시된 배합목적을 초과한 효능효과를 가진다고 </w:t>
      </w:r>
      <w:r w:rsidRPr="003F450E">
        <w:rPr>
          <w:rFonts w:hint="eastAsia"/>
          <w:sz w:val="20"/>
        </w:rPr>
        <w:t>소비자에게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 잘못 인식될 우려가 있는 성분에 대해서도 특기표시가 불가하다고 되어 있습니다. </w:t>
      </w:r>
    </w:p>
    <w:p w14:paraId="254022DC" w14:textId="21974A6D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3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특기표시 성분명칭은 일반소비자가 이해할 수 있도록 기재한다. </w:t>
      </w:r>
    </w:p>
    <w:p w14:paraId="28860E3E" w14:textId="22A38A02" w:rsidR="003F450E" w:rsidRPr="003F450E" w:rsidRDefault="003F450E" w:rsidP="003F450E">
      <w:pPr>
        <w:spacing w:afterLines="50" w:after="120"/>
        <w:ind w:leftChars="129" w:left="426" w:hangingChars="71" w:hanging="142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※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성분명칭은 배합목적의 일반적 명칭으로 기재하며, 다른 명칭(기호, 애칭 등)으로 표시하는 경우에는 일반적 명칭을 병기한다고 되어 있습니다. 또한, 일반적 명칭에 대해서는 시행규칙에서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hint="eastAsia"/>
          <w:sz w:val="20"/>
        </w:rPr>
        <w:t>지정성분의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 명칭과 다르기 때문에, 이들이 동일한 배합성분이라고 일반소비자가 판별하기 어려운 경우에는 지정성분의 명칭을 병기한다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고 되어 있듯이, 배합성분의 표시명칭(전성분명칭)을 기재하는 것이 적절하다고 되어 있습니다. </w:t>
      </w:r>
    </w:p>
    <w:p w14:paraId="39DD1C77" w14:textId="247B2F0D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4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특기표시 성분에는 배합목적을 병기한다. </w:t>
      </w:r>
    </w:p>
    <w:p w14:paraId="7299E70E" w14:textId="61EF0E06" w:rsidR="003F450E" w:rsidRPr="003F450E" w:rsidRDefault="003F450E" w:rsidP="003F450E">
      <w:pPr>
        <w:spacing w:afterLines="50" w:after="120"/>
        <w:ind w:leftChars="129" w:left="426" w:hangingChars="71" w:hanging="142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lastRenderedPageBreak/>
        <w:t>※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특기성분이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>유효성분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인 것 같은 잘못된 인식을 피하기 위해 배합목적의 병기가 특기표시의 </w:t>
      </w:r>
      <w:r w:rsidRPr="003F450E">
        <w:rPr>
          <w:rFonts w:hint="eastAsia"/>
          <w:sz w:val="20"/>
        </w:rPr>
        <w:t>조건으로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 되어 있습니다. </w:t>
      </w:r>
    </w:p>
    <w:p w14:paraId="1541FE86" w14:textId="77777777" w:rsidR="003F450E" w:rsidRPr="003F450E" w:rsidRDefault="003F450E" w:rsidP="003F450E">
      <w:pPr>
        <w:spacing w:afterLines="50" w:after="120"/>
        <w:ind w:leftChars="193" w:left="425" w:firstLineChars="141" w:firstLine="282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 xml:space="preserve">단, 식물추출액 등 총괄적인 성분의 경우에는 반드시 배합목적의 기재를 요하지 않는 예로 생각되고 있습니다. </w:t>
      </w:r>
    </w:p>
    <w:p w14:paraId="1FCE06AA" w14:textId="40CDE622" w:rsidR="003F450E" w:rsidRPr="003F450E" w:rsidRDefault="003F450E" w:rsidP="003F450E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5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특기표시 성분의 배합목적은 화장품의 효능범위에서 기재한다. </w:t>
      </w:r>
    </w:p>
    <w:p w14:paraId="3DE27323" w14:textId="45E1D1B7" w:rsidR="003F450E" w:rsidRPr="003F450E" w:rsidRDefault="003F450E" w:rsidP="003F450E">
      <w:pPr>
        <w:spacing w:afterLines="50" w:after="120"/>
        <w:ind w:leftChars="129" w:left="426" w:hangingChars="71" w:hanging="142"/>
        <w:jc w:val="both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※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배합목적은 그 효능효과를 일으키는 것이 객관적으로 실증된 것이며, </w:t>
      </w:r>
      <w:r w:rsidRPr="003F450E">
        <w:rPr>
          <w:rFonts w:ascii="맑은 고딕" w:eastAsia="맑은 고딕" w:hAnsi="맑은 고딕"/>
          <w:sz w:val="20"/>
          <w:szCs w:val="20"/>
        </w:rPr>
        <w:t>“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화장품에 대한 효능효과 </w:t>
      </w:r>
      <w:r w:rsidRPr="003F450E">
        <w:rPr>
          <w:rFonts w:hint="eastAsia"/>
          <w:sz w:val="20"/>
        </w:rPr>
        <w:t>표현의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 범위(통지)</w:t>
      </w:r>
      <w:r w:rsidRPr="003F450E">
        <w:rPr>
          <w:rFonts w:ascii="맑은 고딕" w:eastAsia="맑은 고딕" w:hAnsi="맑은 고딕"/>
          <w:sz w:val="20"/>
          <w:szCs w:val="20"/>
        </w:rPr>
        <w:t>”</w:t>
      </w:r>
      <w:r w:rsidRPr="003F450E">
        <w:rPr>
          <w:rFonts w:ascii="맑은 고딕" w:eastAsia="맑은 고딕" w:hAnsi="맑은 고딕" w:hint="eastAsia"/>
          <w:sz w:val="20"/>
          <w:szCs w:val="20"/>
        </w:rPr>
        <w:t xml:space="preserve">의 범위 내로 정해져 있습니다. </w:t>
      </w:r>
    </w:p>
    <w:p w14:paraId="4BAF5D49" w14:textId="77777777" w:rsidR="003F450E" w:rsidRDefault="003F450E" w:rsidP="003F450E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</w:p>
    <w:p w14:paraId="316B6E1B" w14:textId="32358EAD" w:rsidR="003F450E" w:rsidRPr="003F450E" w:rsidRDefault="003F450E" w:rsidP="003F450E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3F450E">
        <w:rPr>
          <w:rFonts w:ascii="맑은 고딕" w:eastAsia="맑은 고딕" w:hAnsi="맑은 고딕" w:hint="eastAsia"/>
          <w:sz w:val="20"/>
          <w:szCs w:val="20"/>
        </w:rPr>
        <w:t>이상</w:t>
      </w:r>
    </w:p>
    <w:sectPr w:rsidR="003F450E" w:rsidRPr="003F450E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41DB0" w14:textId="77777777" w:rsidR="00485427" w:rsidRDefault="00485427" w:rsidP="0040554A">
      <w:r>
        <w:separator/>
      </w:r>
    </w:p>
  </w:endnote>
  <w:endnote w:type="continuationSeparator" w:id="0">
    <w:p w14:paraId="5131D12D" w14:textId="77777777" w:rsidR="00485427" w:rsidRDefault="00485427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04BCF" w14:textId="77777777" w:rsidR="00485427" w:rsidRDefault="00485427" w:rsidP="0040554A">
      <w:r>
        <w:separator/>
      </w:r>
    </w:p>
  </w:footnote>
  <w:footnote w:type="continuationSeparator" w:id="0">
    <w:p w14:paraId="321F788B" w14:textId="77777777" w:rsidR="00485427" w:rsidRDefault="00485427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2" w15:restartNumberingAfterBreak="0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75EB138C"/>
    <w:multiLevelType w:val="hybridMultilevel"/>
    <w:tmpl w:val="6EFE9ABA"/>
    <w:lvl w:ilvl="0" w:tplc="8F702A8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E1"/>
    <w:rsid w:val="00042B50"/>
    <w:rsid w:val="000567D9"/>
    <w:rsid w:val="00056D8B"/>
    <w:rsid w:val="00093CAD"/>
    <w:rsid w:val="000B079B"/>
    <w:rsid w:val="000C34B5"/>
    <w:rsid w:val="000D3333"/>
    <w:rsid w:val="000F758F"/>
    <w:rsid w:val="00132C0B"/>
    <w:rsid w:val="00142B1F"/>
    <w:rsid w:val="001B1783"/>
    <w:rsid w:val="0022136B"/>
    <w:rsid w:val="00227588"/>
    <w:rsid w:val="00266731"/>
    <w:rsid w:val="002F1C56"/>
    <w:rsid w:val="00313DF5"/>
    <w:rsid w:val="003536E6"/>
    <w:rsid w:val="00360922"/>
    <w:rsid w:val="003B4EDF"/>
    <w:rsid w:val="003C2A20"/>
    <w:rsid w:val="003F450E"/>
    <w:rsid w:val="0040554A"/>
    <w:rsid w:val="00412980"/>
    <w:rsid w:val="00445BFF"/>
    <w:rsid w:val="00485427"/>
    <w:rsid w:val="004C1EC8"/>
    <w:rsid w:val="004C7590"/>
    <w:rsid w:val="004F4A1E"/>
    <w:rsid w:val="00513C2E"/>
    <w:rsid w:val="005409CD"/>
    <w:rsid w:val="00570A78"/>
    <w:rsid w:val="005739CB"/>
    <w:rsid w:val="005E5F87"/>
    <w:rsid w:val="00610390"/>
    <w:rsid w:val="00613D9B"/>
    <w:rsid w:val="0062356D"/>
    <w:rsid w:val="006B20D3"/>
    <w:rsid w:val="006B7B70"/>
    <w:rsid w:val="006F00D3"/>
    <w:rsid w:val="00702918"/>
    <w:rsid w:val="00766048"/>
    <w:rsid w:val="00820C3C"/>
    <w:rsid w:val="008321ED"/>
    <w:rsid w:val="008A449A"/>
    <w:rsid w:val="0091376C"/>
    <w:rsid w:val="00921A34"/>
    <w:rsid w:val="00960967"/>
    <w:rsid w:val="009D7AEE"/>
    <w:rsid w:val="00A211FE"/>
    <w:rsid w:val="00A6668F"/>
    <w:rsid w:val="00AA37F3"/>
    <w:rsid w:val="00B33DBD"/>
    <w:rsid w:val="00B47741"/>
    <w:rsid w:val="00B779B1"/>
    <w:rsid w:val="00BA797B"/>
    <w:rsid w:val="00BE1A42"/>
    <w:rsid w:val="00D3097C"/>
    <w:rsid w:val="00DA535E"/>
    <w:rsid w:val="00DB08CD"/>
    <w:rsid w:val="00DF0120"/>
    <w:rsid w:val="00E16CB9"/>
    <w:rsid w:val="00E45BDC"/>
    <w:rsid w:val="00EC4FA7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408E5"/>
  <w15:docId w15:val="{5DF5C028-BBC9-4C5B-8389-282A38BF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2024-11-21T06:47:00Z</dcterms:created>
  <dcterms:modified xsi:type="dcterms:W3CDTF">2024-11-21T06:47:00Z</dcterms:modified>
</cp:coreProperties>
</file>