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321C9" w14:textId="77777777" w:rsidR="00DB5A7B" w:rsidRPr="009F16D2" w:rsidRDefault="00000000">
      <w:pPr>
        <w:spacing w:after="200" w:line="340" w:lineRule="auto"/>
        <w:jc w:val="center"/>
        <w:rPr>
          <w:sz w:val="28"/>
          <w:szCs w:val="28"/>
        </w:rPr>
      </w:pPr>
      <w:r w:rsidRPr="009F16D2">
        <w:rPr>
          <w:b/>
          <w:bCs/>
          <w:sz w:val="28"/>
          <w:szCs w:val="28"/>
        </w:rPr>
        <w:t xml:space="preserve">「화장품 </w:t>
      </w:r>
      <w:proofErr w:type="spellStart"/>
      <w:r w:rsidRPr="009F16D2">
        <w:rPr>
          <w:b/>
          <w:bCs/>
          <w:sz w:val="28"/>
          <w:szCs w:val="28"/>
        </w:rPr>
        <w:t>신원료</w:t>
      </w:r>
      <w:proofErr w:type="spellEnd"/>
      <w:r w:rsidRPr="009F16D2">
        <w:rPr>
          <w:b/>
          <w:bCs/>
          <w:sz w:val="28"/>
          <w:szCs w:val="28"/>
        </w:rPr>
        <w:t xml:space="preserve"> 허가·등록 및 자료 관리 규정」 관련 정책 해설</w:t>
      </w:r>
    </w:p>
    <w:p w14:paraId="390401FF" w14:textId="77777777" w:rsidR="00DB5A7B" w:rsidRDefault="00000000" w:rsidP="009F16D2">
      <w:pPr>
        <w:spacing w:after="320" w:line="340" w:lineRule="auto"/>
      </w:pPr>
      <w:r>
        <w:rPr>
          <w:sz w:val="19"/>
          <w:szCs w:val="19"/>
        </w:rPr>
        <w:t>발표일: 2026-06-26</w:t>
      </w:r>
    </w:p>
    <w:p w14:paraId="69CD75A4" w14:textId="77777777" w:rsidR="00DB5A7B" w:rsidRDefault="00000000">
      <w:pPr>
        <w:spacing w:after="160" w:line="340" w:lineRule="auto"/>
        <w:jc w:val="both"/>
      </w:pPr>
      <w:r>
        <w:rPr>
          <w:b/>
          <w:bCs/>
        </w:rPr>
        <w:t xml:space="preserve">1. 「화장품 </w:t>
      </w:r>
      <w:proofErr w:type="spellStart"/>
      <w:r>
        <w:rPr>
          <w:b/>
          <w:bCs/>
        </w:rPr>
        <w:t>신원료</w:t>
      </w:r>
      <w:proofErr w:type="spellEnd"/>
      <w:r>
        <w:rPr>
          <w:b/>
          <w:bCs/>
        </w:rPr>
        <w:t xml:space="preserve"> 허가·등록 및 자료 관리 규정」(이하 '</w:t>
      </w:r>
      <w:proofErr w:type="spellStart"/>
      <w:r>
        <w:rPr>
          <w:b/>
          <w:bCs/>
        </w:rPr>
        <w:t>신「규정</w:t>
      </w:r>
      <w:proofErr w:type="spellEnd"/>
      <w:r>
        <w:rPr>
          <w:b/>
          <w:bCs/>
        </w:rPr>
        <w:t>」')의 제정 목적은 무엇인가?</w:t>
      </w:r>
    </w:p>
    <w:p w14:paraId="210BB22A" w14:textId="21D3F1E0" w:rsidR="009F16D2" w:rsidRDefault="009F16D2" w:rsidP="009F16D2">
      <w:pPr>
        <w:spacing w:after="160" w:line="340" w:lineRule="auto"/>
        <w:ind w:firstLineChars="200" w:firstLine="420"/>
        <w:jc w:val="both"/>
        <w:rPr>
          <w:rFonts w:hint="eastAsia"/>
        </w:rPr>
      </w:pPr>
      <w:r>
        <w:rPr>
          <w:rFonts w:hint="eastAsia"/>
        </w:rPr>
        <w:t>「화장품감독관리조례」</w:t>
      </w:r>
      <w:r>
        <w:t xml:space="preserve">(이하 「조례」) 및 「화장품 허가·등록 </w:t>
      </w:r>
      <w:proofErr w:type="spellStart"/>
      <w:r>
        <w:t>관리방법」의</w:t>
      </w:r>
      <w:proofErr w:type="spellEnd"/>
      <w:r>
        <w:t xml:space="preserve"> 시행을 위해, 국가약품감독관리국은 2021년 2월 「화장품 </w:t>
      </w:r>
      <w:proofErr w:type="spellStart"/>
      <w:r>
        <w:t>신원료</w:t>
      </w:r>
      <w:proofErr w:type="spellEnd"/>
      <w:r>
        <w:t xml:space="preserve"> 허가·등록 자료 관리 규정」(이하 구 「규정」)을 발표하였다. 「조례」 시행 이전에는 화장품 신원료에 대해 심사승인제를 실시하였으나, 시행 이후에는 위험도에 따라 허가 또는 등록 관리로 조정되었다. 현재는 대부분의 신원료에 대해 등록 관리가 적용되며, 자료 제출 시 등록이 완료된다.</w:t>
      </w:r>
    </w:p>
    <w:p w14:paraId="289AC098" w14:textId="5AF2D5D2" w:rsidR="009F16D2" w:rsidRPr="009F16D2" w:rsidRDefault="009F16D2" w:rsidP="009F16D2">
      <w:pPr>
        <w:spacing w:after="160" w:line="340" w:lineRule="auto"/>
        <w:ind w:firstLineChars="200" w:firstLine="420"/>
        <w:jc w:val="both"/>
        <w:rPr>
          <w:rFonts w:hint="eastAsia"/>
        </w:rPr>
      </w:pPr>
      <w:proofErr w:type="spellStart"/>
      <w:r>
        <w:rPr>
          <w:rFonts w:hint="eastAsia"/>
        </w:rPr>
        <w:t>신원료</w:t>
      </w:r>
      <w:proofErr w:type="spellEnd"/>
      <w:r>
        <w:t xml:space="preserve"> 등록제도에 대한 이해의 한계로 인해 구 「</w:t>
      </w:r>
      <w:proofErr w:type="spellStart"/>
      <w:r>
        <w:t>규정」에는</w:t>
      </w:r>
      <w:proofErr w:type="spellEnd"/>
      <w:r>
        <w:t xml:space="preserve"> 몇 가지 문제가 존재하였다. 첫째, 전체적인 요구 수준이 여전히 지나치게 엄격하여, 비교적 위험도가 낮은 원료에 대해서도 과도하게 신중한 태도를 유지함으로써 차등화·정밀화 관리 이념이 충분히 반영되지 못했다. 둘째, 행정관리와 기술요건이 혼재되어 있었고, 기술 관련 규정이 지나치게 구체적이어서 실시간 개정이 어려웠으며 자료 요구도 많아 연구개발 및 신청 비용이 높았다. 셋째, 「화장품 원료 혁신 </w:t>
      </w:r>
      <w:r>
        <w:rPr>
          <w:rFonts w:hint="eastAsia"/>
        </w:rPr>
        <w:t>지원에</w:t>
      </w:r>
      <w:r>
        <w:t xml:space="preserve"> 관한 일부 규정」 발표 이후 원료 혁신 장려 정책 신호가 더욱 강화되었으나, 구 「</w:t>
      </w:r>
      <w:proofErr w:type="spellStart"/>
      <w:r>
        <w:t>규정」이</w:t>
      </w:r>
      <w:proofErr w:type="spellEnd"/>
      <w:r>
        <w:t xml:space="preserve"> 이에 부합하지 않아 신규 정책이 효과적으로 시행되기 어려웠다.</w:t>
      </w:r>
    </w:p>
    <w:p w14:paraId="2BA32F3F" w14:textId="77777777" w:rsidR="009F16D2" w:rsidRDefault="009F16D2" w:rsidP="009F16D2">
      <w:pPr>
        <w:spacing w:after="160" w:line="340" w:lineRule="auto"/>
        <w:ind w:firstLineChars="200" w:firstLine="420"/>
        <w:jc w:val="both"/>
      </w:pPr>
      <w:r>
        <w:rPr>
          <w:rFonts w:hint="eastAsia"/>
        </w:rPr>
        <w:t>업계의</w:t>
      </w:r>
      <w:r>
        <w:t xml:space="preserve"> 자율의식 및 품질관리 수준이 지속적으로 향상되고 있고, 원료 혁신과 산업 발전 촉진이라는 현실적 요구를 고려할 때 구 「</w:t>
      </w:r>
      <w:proofErr w:type="spellStart"/>
      <w:r>
        <w:t>규정」은</w:t>
      </w:r>
      <w:proofErr w:type="spellEnd"/>
      <w:r>
        <w:t xml:space="preserve"> 더 이상 업계 혁신 발전의 새로운 상황에 적응하기 어려웠다. 기업의 연구개발 의욕을 충분히 제고하고 업계 발전 수요에 부응하며 산업의 고품질 발전을 촉진하기 위해 </w:t>
      </w:r>
      <w:proofErr w:type="spellStart"/>
      <w:r>
        <w:t>신원료</w:t>
      </w:r>
      <w:proofErr w:type="spellEnd"/>
      <w:r>
        <w:t xml:space="preserve"> 허가·등록 자료 요건을 최적화·조정할 필요가 있었다.</w:t>
      </w:r>
    </w:p>
    <w:p w14:paraId="0A8CEE3C" w14:textId="77777777" w:rsidR="009F16D2" w:rsidRDefault="009F16D2" w:rsidP="009F16D2">
      <w:pPr>
        <w:spacing w:after="160" w:line="340" w:lineRule="auto"/>
        <w:ind w:firstLineChars="200" w:firstLine="420"/>
        <w:jc w:val="both"/>
      </w:pPr>
    </w:p>
    <w:p w14:paraId="56D27885" w14:textId="2E583F9B" w:rsidR="00DB5A7B" w:rsidRDefault="00000000" w:rsidP="009F16D2">
      <w:pPr>
        <w:spacing w:after="160" w:line="340" w:lineRule="auto"/>
        <w:jc w:val="both"/>
      </w:pPr>
      <w:r>
        <w:rPr>
          <w:b/>
          <w:bCs/>
        </w:rPr>
        <w:t xml:space="preserve">2. </w:t>
      </w:r>
      <w:proofErr w:type="spellStart"/>
      <w:r>
        <w:rPr>
          <w:b/>
          <w:bCs/>
        </w:rPr>
        <w:t>신「규정</w:t>
      </w:r>
      <w:proofErr w:type="spellEnd"/>
      <w:r>
        <w:rPr>
          <w:b/>
          <w:bCs/>
        </w:rPr>
        <w:t>」 제정 과정에서 어떤 원칙을 따랐는가?</w:t>
      </w:r>
    </w:p>
    <w:p w14:paraId="636663C0" w14:textId="77777777" w:rsidR="00DB5A7B" w:rsidRDefault="00000000">
      <w:pPr>
        <w:spacing w:after="140" w:line="340" w:lineRule="auto"/>
        <w:ind w:firstLine="400"/>
        <w:jc w:val="both"/>
      </w:pPr>
      <w:proofErr w:type="spellStart"/>
      <w:r>
        <w:t>신「규정</w:t>
      </w:r>
      <w:proofErr w:type="spellEnd"/>
      <w:r>
        <w:t>」 제정은 주로 다음 세 가지 원칙을 따랐다.</w:t>
      </w:r>
    </w:p>
    <w:p w14:paraId="6A0DA9FE" w14:textId="760E8AB6" w:rsidR="00DB5A7B" w:rsidRDefault="00000000">
      <w:pPr>
        <w:spacing w:after="140" w:line="340" w:lineRule="auto"/>
        <w:ind w:firstLine="400"/>
        <w:jc w:val="both"/>
      </w:pPr>
      <w:r>
        <w:t xml:space="preserve">첫째, </w:t>
      </w:r>
      <w:r w:rsidR="009F16D2" w:rsidRPr="009F16D2">
        <w:t>법에 따른 행정을 원칙으로 한다.</w:t>
      </w:r>
      <w:r>
        <w:t xml:space="preserve"> 「</w:t>
      </w:r>
      <w:proofErr w:type="spellStart"/>
      <w:r>
        <w:t>조례」와</w:t>
      </w:r>
      <w:proofErr w:type="spellEnd"/>
      <w:r>
        <w:t xml:space="preserve"> 「화장품허가·</w:t>
      </w:r>
      <w:proofErr w:type="spellStart"/>
      <w:r>
        <w:t>등록관리방법」의</w:t>
      </w:r>
      <w:proofErr w:type="spellEnd"/>
      <w:r>
        <w:t xml:space="preserve"> 규정에 엄격히 따라 법규의 틀 안에서 </w:t>
      </w:r>
      <w:proofErr w:type="spellStart"/>
      <w:r>
        <w:t>신원료</w:t>
      </w:r>
      <w:proofErr w:type="spellEnd"/>
      <w:r>
        <w:t xml:space="preserve"> 허가·등록 절차와 자료 요구를 최적화·보완하였다.</w:t>
      </w:r>
    </w:p>
    <w:p w14:paraId="293F6F09" w14:textId="58C9F99B" w:rsidR="00DB5A7B" w:rsidRDefault="00000000">
      <w:pPr>
        <w:spacing w:after="140" w:line="340" w:lineRule="auto"/>
        <w:ind w:firstLine="400"/>
        <w:jc w:val="both"/>
      </w:pPr>
      <w:r>
        <w:lastRenderedPageBreak/>
        <w:t xml:space="preserve">둘째, 부담 경감과 효율 제고를 </w:t>
      </w:r>
      <w:r w:rsidR="009F16D2" w:rsidRPr="009F16D2">
        <w:t>원칙으로 한다.</w:t>
      </w:r>
      <w:r w:rsidR="009F16D2">
        <w:t xml:space="preserve"> </w:t>
      </w:r>
      <w:r>
        <w:t xml:space="preserve">업계가 제기한 두드러진 문제에 초점을 맞추어 원료 혁신의 걸림돌과 난제를 해소하는 개혁 조치를 제시함으로써 </w:t>
      </w:r>
      <w:proofErr w:type="spellStart"/>
      <w:r>
        <w:t>신원료</w:t>
      </w:r>
      <w:proofErr w:type="spellEnd"/>
      <w:r>
        <w:t xml:space="preserve"> 연구개발의 효율과 역량을 높였다.</w:t>
      </w:r>
    </w:p>
    <w:p w14:paraId="0193661E" w14:textId="6EAE9008" w:rsidR="00DB5A7B" w:rsidRDefault="00000000">
      <w:pPr>
        <w:spacing w:after="240" w:line="340" w:lineRule="auto"/>
        <w:ind w:firstLine="400"/>
        <w:jc w:val="both"/>
      </w:pPr>
      <w:r>
        <w:t xml:space="preserve">셋째, 고효율과 통일성을 </w:t>
      </w:r>
      <w:r w:rsidR="009F16D2" w:rsidRPr="009F16D2">
        <w:t>원칙으로 한다.</w:t>
      </w:r>
      <w:r w:rsidR="009F16D2">
        <w:t xml:space="preserve"> </w:t>
      </w:r>
      <w:proofErr w:type="spellStart"/>
      <w:r>
        <w:t>구「규정」의</w:t>
      </w:r>
      <w:proofErr w:type="spellEnd"/>
      <w:r>
        <w:t xml:space="preserve"> 행정관리 부분과 기술 요구 부분을 합리적으로 분리하여, 국가약품감독관리국이 신「규정」을 발포하고 </w:t>
      </w:r>
      <w:proofErr w:type="spellStart"/>
      <w:r>
        <w:t>중국식품약품검정연구원</w:t>
      </w:r>
      <w:proofErr w:type="spellEnd"/>
      <w:r>
        <w:t xml:space="preserve">(中检院)이 「화장품 </w:t>
      </w:r>
      <w:proofErr w:type="spellStart"/>
      <w:r>
        <w:t>신원료</w:t>
      </w:r>
      <w:proofErr w:type="spellEnd"/>
      <w:r>
        <w:t xml:space="preserve"> 허가·등록 자료 </w:t>
      </w:r>
      <w:proofErr w:type="spellStart"/>
      <w:r>
        <w:t>기술통칙</w:t>
      </w:r>
      <w:proofErr w:type="spellEnd"/>
      <w:r>
        <w:t>」(이하 '「통칙」')을 발포하도록 하였다. 이를 통해 행정관리의 엄정성과 안정성을 부각하는 동시에 기술 요구의 전문성과 유연성을 강화하였다.</w:t>
      </w:r>
    </w:p>
    <w:p w14:paraId="0EC14912" w14:textId="77777777" w:rsidR="00DB5A7B" w:rsidRDefault="00000000">
      <w:pPr>
        <w:spacing w:after="160" w:line="340" w:lineRule="auto"/>
        <w:jc w:val="both"/>
      </w:pPr>
      <w:r>
        <w:rPr>
          <w:b/>
          <w:bCs/>
        </w:rPr>
        <w:t xml:space="preserve">3. </w:t>
      </w:r>
      <w:proofErr w:type="spellStart"/>
      <w:r>
        <w:rPr>
          <w:b/>
          <w:bCs/>
        </w:rPr>
        <w:t>신「규정」과</w:t>
      </w:r>
      <w:proofErr w:type="spellEnd"/>
      <w:r>
        <w:rPr>
          <w:b/>
          <w:bCs/>
        </w:rPr>
        <w:t xml:space="preserve"> 「</w:t>
      </w:r>
      <w:proofErr w:type="spellStart"/>
      <w:r>
        <w:rPr>
          <w:b/>
          <w:bCs/>
        </w:rPr>
        <w:t>통칙」은</w:t>
      </w:r>
      <w:proofErr w:type="spellEnd"/>
      <w:r>
        <w:rPr>
          <w:b/>
          <w:bCs/>
        </w:rPr>
        <w:t xml:space="preserve"> 주로 어떤 부분을 조정하였는가?</w:t>
      </w:r>
    </w:p>
    <w:p w14:paraId="281CE58C" w14:textId="77777777" w:rsidR="00DB5A7B" w:rsidRDefault="00000000">
      <w:pPr>
        <w:spacing w:after="140" w:line="340" w:lineRule="auto"/>
        <w:ind w:firstLine="400"/>
        <w:jc w:val="both"/>
      </w:pPr>
      <w:proofErr w:type="spellStart"/>
      <w:r>
        <w:t>신「규정」과</w:t>
      </w:r>
      <w:proofErr w:type="spellEnd"/>
      <w:r>
        <w:t xml:space="preserve"> 「</w:t>
      </w:r>
      <w:proofErr w:type="spellStart"/>
      <w:r>
        <w:t>통칙」은</w:t>
      </w:r>
      <w:proofErr w:type="spellEnd"/>
      <w:r>
        <w:t xml:space="preserve"> 주로 다음 몇 가지 측면을 조정·최적화하였다.</w:t>
      </w:r>
    </w:p>
    <w:p w14:paraId="779EFF10" w14:textId="77777777" w:rsidR="00DB5A7B" w:rsidRDefault="00000000">
      <w:pPr>
        <w:spacing w:after="140" w:line="340" w:lineRule="auto"/>
        <w:ind w:firstLine="400"/>
        <w:jc w:val="both"/>
      </w:pPr>
      <w:r>
        <w:t xml:space="preserve">첫째, 효과적인 연계를 전제로 관리 경계를 명확히 구분하였다. </w:t>
      </w:r>
      <w:proofErr w:type="spellStart"/>
      <w:r>
        <w:t>신원료</w:t>
      </w:r>
      <w:proofErr w:type="spellEnd"/>
      <w:r>
        <w:t xml:space="preserve"> 관리 요구와 기술 요구를 분리하여 일부는 신「규정」으로 조정하고 일부는 「</w:t>
      </w:r>
      <w:proofErr w:type="spellStart"/>
      <w:r>
        <w:t>통칙」으로</w:t>
      </w:r>
      <w:proofErr w:type="spellEnd"/>
      <w:r>
        <w:t xml:space="preserve"> 전환함으로써, 관련 요구를 보다 유연하고 간편하게 조정할 수 있도록 하여 업계 발전 수요에 부합하도록 하였다.</w:t>
      </w:r>
    </w:p>
    <w:p w14:paraId="29AC1125" w14:textId="77777777" w:rsidR="00DB5A7B" w:rsidRDefault="00000000">
      <w:pPr>
        <w:spacing w:after="140" w:line="340" w:lineRule="auto"/>
        <w:ind w:firstLine="400"/>
        <w:jc w:val="both"/>
      </w:pPr>
      <w:r>
        <w:t xml:space="preserve">둘째, </w:t>
      </w:r>
      <w:proofErr w:type="spellStart"/>
      <w:r>
        <w:t>신원료</w:t>
      </w:r>
      <w:proofErr w:type="spellEnd"/>
      <w:r>
        <w:t xml:space="preserve"> 분류를 조정하고 자료 제출 요구를 간소화하였다. 기존의 '비교적 높은 리스크' 효능 범위인 방부, 자외선차단, 착색, </w:t>
      </w:r>
      <w:proofErr w:type="spellStart"/>
      <w:r>
        <w:t>염모</w:t>
      </w:r>
      <w:proofErr w:type="spellEnd"/>
      <w:r>
        <w:t xml:space="preserve">, 기미제거·미백, 탈모방지, 여드름제거, 주름개선(물리적 주름개선 제외), 비듬제거, </w:t>
      </w:r>
      <w:proofErr w:type="spellStart"/>
      <w:r>
        <w:t>데오도런트</w:t>
      </w:r>
      <w:proofErr w:type="spellEnd"/>
      <w:r>
        <w:t xml:space="preserve"> 기능 등을 방부, 자외선차단, 착색, </w:t>
      </w:r>
      <w:proofErr w:type="spellStart"/>
      <w:r>
        <w:t>염모</w:t>
      </w:r>
      <w:proofErr w:type="spellEnd"/>
      <w:r>
        <w:t>, 기미제거·미백으로 축소하여 자료 요구를 간소화하고, 「</w:t>
      </w:r>
      <w:proofErr w:type="spellStart"/>
      <w:r>
        <w:t>조례」에서</w:t>
      </w:r>
      <w:proofErr w:type="spellEnd"/>
      <w:r>
        <w:t xml:space="preserve"> 허가가 필요하다고 규정한 효능 범위와 일치시켰다. 기능 근거 자료, 검측 방법 텍스트 및 검증 자료, 가속시험 및 장기 안정성 시험 자료 등 일부 허가·등록 자료는 제출할 필요가 없으며 기업이 보관하여 확인에 대비한다.</w:t>
      </w:r>
    </w:p>
    <w:p w14:paraId="491A9221" w14:textId="77777777" w:rsidR="00DB5A7B" w:rsidRDefault="00000000">
      <w:pPr>
        <w:spacing w:after="140" w:line="340" w:lineRule="auto"/>
        <w:ind w:firstLine="400"/>
        <w:jc w:val="both"/>
      </w:pPr>
      <w:r>
        <w:t xml:space="preserve">셋째, 기존 데이터 정보를 충분히 활용하여 중복 시험을 방지하였다. </w:t>
      </w:r>
      <w:proofErr w:type="spellStart"/>
      <w:r>
        <w:t>신원료</w:t>
      </w:r>
      <w:proofErr w:type="spellEnd"/>
      <w:r>
        <w:t xml:space="preserve"> 안전성 평가에서 기존의 안전성 배경 정보와 안전 사용 이력, 안전 식용 이력 등 데이터 정보의 활용을 충분히 고려하였다. 또한 일부 신원료는 이미 관련 요구에 따라 </w:t>
      </w:r>
      <w:proofErr w:type="spellStart"/>
      <w:r>
        <w:t>독성학</w:t>
      </w:r>
      <w:proofErr w:type="spellEnd"/>
      <w:r>
        <w:t xml:space="preserve"> 시험을 실시하였을 수 있음을 고려하여, 불필요한 중복 시험을 줄이고 기업의 연구개발 비용을 낮추기 위하여 이미 중국의 기타 국가표준 또는 국제 통용 방법으로 시험을 실시한 경우 </w:t>
      </w:r>
      <w:proofErr w:type="spellStart"/>
      <w:r>
        <w:t>신원료</w:t>
      </w:r>
      <w:proofErr w:type="spellEnd"/>
      <w:r>
        <w:t xml:space="preserve"> 안전성 평가 결론에 영향을 미치지 아니하는 전제하에 기존 데이터를 활용할 수 있음을 새 규정에서 명확히 하였으며, 시험기관 자질 요구도 이에 상응하게 조정하였다.</w:t>
      </w:r>
    </w:p>
    <w:p w14:paraId="1B64E617" w14:textId="77777777" w:rsidR="00DB5A7B" w:rsidRDefault="00000000">
      <w:pPr>
        <w:spacing w:after="240" w:line="340" w:lineRule="auto"/>
        <w:ind w:firstLine="400"/>
        <w:jc w:val="both"/>
      </w:pPr>
      <w:r>
        <w:lastRenderedPageBreak/>
        <w:t xml:space="preserve">넷째, 신기술·신방법의 적용을 강화하고 동물대체시험법을 전면 수용하였다. 동물대체시험법 등 신기술·신방법의 적용을 장려하여 기업이 국제 권위기관에 수록된 대체 방법을 직접 채택하여 시험할 수 있도록 하였으며, 이는 국제무역 기술장벽을 줄이고 중국산 화장품의 해외 진출을 추동하는 데 유리하다. 또한 충분한 과학적 근거가 있는 전제하에 기업이 새로운 전략·방법으로 </w:t>
      </w:r>
      <w:proofErr w:type="spellStart"/>
      <w:r>
        <w:t>신원료</w:t>
      </w:r>
      <w:proofErr w:type="spellEnd"/>
      <w:r>
        <w:t xml:space="preserve"> 안전성 평가를 수행하는 경우 기술심사평가기관과의 소통·교류를 신청할 수 있다.</w:t>
      </w:r>
    </w:p>
    <w:p w14:paraId="08DBBBA1" w14:textId="77777777" w:rsidR="00DB5A7B" w:rsidRDefault="00000000">
      <w:pPr>
        <w:spacing w:after="160" w:line="340" w:lineRule="auto"/>
        <w:jc w:val="both"/>
      </w:pPr>
      <w:r>
        <w:rPr>
          <w:b/>
          <w:bCs/>
        </w:rPr>
        <w:t xml:space="preserve">4. 화장품 </w:t>
      </w:r>
      <w:proofErr w:type="spellStart"/>
      <w:r>
        <w:rPr>
          <w:b/>
          <w:bCs/>
        </w:rPr>
        <w:t>신원료</w:t>
      </w:r>
      <w:proofErr w:type="spellEnd"/>
      <w:r>
        <w:rPr>
          <w:b/>
          <w:bCs/>
        </w:rPr>
        <w:t xml:space="preserve"> 안전 리스크 모니터링 및 평가 체계 개요, 안전 모니터링 연도 보고서, 안전 리스크 통제 보고서에 통일된 서식 견본이 있는가?</w:t>
      </w:r>
    </w:p>
    <w:p w14:paraId="70B9B699" w14:textId="77777777" w:rsidR="00DB5A7B" w:rsidRDefault="00000000">
      <w:pPr>
        <w:spacing w:after="240" w:line="340" w:lineRule="auto"/>
        <w:ind w:firstLine="400"/>
        <w:jc w:val="both"/>
      </w:pPr>
      <w:r>
        <w:t xml:space="preserve">화장품 </w:t>
      </w:r>
      <w:proofErr w:type="spellStart"/>
      <w:r>
        <w:t>신원료</w:t>
      </w:r>
      <w:proofErr w:type="spellEnd"/>
      <w:r>
        <w:t xml:space="preserve"> 허가인·등록인이 자료를 정리·제출하는 데 편의를 제공하기 위하여 국가약품감독관리국은 관련 문서의 서식 견본을 제공할 예정이다. 여기에는 화장품 </w:t>
      </w:r>
      <w:proofErr w:type="spellStart"/>
      <w:r>
        <w:t>신원료</w:t>
      </w:r>
      <w:proofErr w:type="spellEnd"/>
      <w:r>
        <w:t xml:space="preserve"> 허가인·등록인 안전 리스크 모니터링 및 평가 체계 개요, 화장품 </w:t>
      </w:r>
      <w:proofErr w:type="spellStart"/>
      <w:r>
        <w:t>신원료</w:t>
      </w:r>
      <w:proofErr w:type="spellEnd"/>
      <w:r>
        <w:t xml:space="preserve"> 안전 모니터링 연도 보고서, 화장품 </w:t>
      </w:r>
      <w:proofErr w:type="spellStart"/>
      <w:r>
        <w:t>신원료</w:t>
      </w:r>
      <w:proofErr w:type="spellEnd"/>
      <w:r>
        <w:t xml:space="preserve"> 안전 리스크 통제 보고서 등이 포함된다. 화장품 </w:t>
      </w:r>
      <w:proofErr w:type="spellStart"/>
      <w:r>
        <w:t>신원료</w:t>
      </w:r>
      <w:proofErr w:type="spellEnd"/>
      <w:r>
        <w:t xml:space="preserve"> 허가인·등록인 또는 경내책임자는 화장품 허가·등록 정보서비스 플랫폼에서 무료로 검색하여 사용할 수 있다.</w:t>
      </w:r>
    </w:p>
    <w:p w14:paraId="1F9F04BE" w14:textId="77777777" w:rsidR="00DB5A7B" w:rsidRDefault="00000000">
      <w:pPr>
        <w:spacing w:after="160" w:line="340" w:lineRule="auto"/>
        <w:jc w:val="both"/>
      </w:pPr>
      <w:r>
        <w:rPr>
          <w:b/>
          <w:bCs/>
        </w:rPr>
        <w:t>5. 새 규정 발포 외에 국가약품감독관리국이 화장품 원료 혁신 장려를 위하여 취한 최적화 조치에는 어떤 것들이 있는가?</w:t>
      </w:r>
    </w:p>
    <w:p w14:paraId="3285BBED" w14:textId="77777777" w:rsidR="00DB5A7B" w:rsidRDefault="00000000">
      <w:pPr>
        <w:spacing w:after="140" w:line="340" w:lineRule="auto"/>
        <w:ind w:firstLine="400"/>
        <w:jc w:val="both"/>
      </w:pPr>
      <w:r>
        <w:t>최근 화장품 원료 혁신을 지원하기 위하여 국가약품감독관리국은 다음과 같은 조치를 취하였다.</w:t>
      </w:r>
    </w:p>
    <w:p w14:paraId="4F8730D7" w14:textId="77777777" w:rsidR="00DB5A7B" w:rsidRDefault="00000000">
      <w:pPr>
        <w:spacing w:after="140" w:line="340" w:lineRule="auto"/>
        <w:ind w:firstLine="400"/>
        <w:jc w:val="both"/>
      </w:pPr>
      <w:r>
        <w:t xml:space="preserve">첫째, 화장품 </w:t>
      </w:r>
      <w:proofErr w:type="spellStart"/>
      <w:r>
        <w:t>신원료</w:t>
      </w:r>
      <w:proofErr w:type="spellEnd"/>
      <w:r>
        <w:t xml:space="preserve"> 기술지원 체계 구축을 지속적으로 추진하고, 기술지원 부서를 조직하여 화장품 </w:t>
      </w:r>
      <w:proofErr w:type="spellStart"/>
      <w:r>
        <w:t>신원료</w:t>
      </w:r>
      <w:proofErr w:type="spellEnd"/>
      <w:r>
        <w:t xml:space="preserve"> 소통·교류 메커니즘 수립을 연구하며, </w:t>
      </w:r>
      <w:proofErr w:type="spellStart"/>
      <w:r>
        <w:t>신원료</w:t>
      </w:r>
      <w:proofErr w:type="spellEnd"/>
      <w:r>
        <w:t xml:space="preserve"> 허가·등록 기술지도 서비스를 강화한다.</w:t>
      </w:r>
    </w:p>
    <w:p w14:paraId="1069755C" w14:textId="77777777" w:rsidR="00DB5A7B" w:rsidRDefault="00000000">
      <w:pPr>
        <w:spacing w:after="140" w:line="340" w:lineRule="auto"/>
        <w:ind w:firstLine="400"/>
        <w:jc w:val="both"/>
      </w:pPr>
      <w:r>
        <w:t xml:space="preserve">둘째, </w:t>
      </w:r>
      <w:proofErr w:type="spellStart"/>
      <w:r>
        <w:t>신원료</w:t>
      </w:r>
      <w:proofErr w:type="spellEnd"/>
      <w:r>
        <w:t xml:space="preserve"> 혁신 지도 업무 메커니즘을 정비하고, </w:t>
      </w:r>
      <w:proofErr w:type="spellStart"/>
      <w:r>
        <w:t>신원료</w:t>
      </w:r>
      <w:proofErr w:type="spellEnd"/>
      <w:r>
        <w:t xml:space="preserve"> 혁신 품목을 선정하여 조건에 부합하는 품목에 대하여 조기 개입하고 전 과정을 지도한다.</w:t>
      </w:r>
    </w:p>
    <w:p w14:paraId="38C80850" w14:textId="77777777" w:rsidR="00DB5A7B" w:rsidRDefault="00000000">
      <w:pPr>
        <w:spacing w:after="140" w:line="340" w:lineRule="auto"/>
        <w:ind w:firstLine="400"/>
        <w:jc w:val="both"/>
      </w:pPr>
      <w:r>
        <w:t xml:space="preserve">셋째, 신원료와 관련 제품의 동시 신고 업무 메커니즘을 수립하여, 기존에 </w:t>
      </w:r>
      <w:proofErr w:type="spellStart"/>
      <w:r>
        <w:t>신원료</w:t>
      </w:r>
      <w:proofErr w:type="spellEnd"/>
      <w:r>
        <w:t xml:space="preserve"> 허가·등록과 관련 제품의 허가를 순차적으로 진행하던 것을 병행하여 진행할 수 있도록 조정함으로써 신원료를 사용한 제품의 출시를 가속화한다.</w:t>
      </w:r>
    </w:p>
    <w:p w14:paraId="6CF3C03F" w14:textId="77777777" w:rsidR="00DB5A7B" w:rsidRDefault="00000000">
      <w:pPr>
        <w:spacing w:line="340" w:lineRule="auto"/>
        <w:ind w:firstLine="400"/>
        <w:jc w:val="both"/>
      </w:pPr>
      <w:r>
        <w:lastRenderedPageBreak/>
        <w:t xml:space="preserve">넷째, 방부제, 자외선차단제, 착색제, </w:t>
      </w:r>
      <w:proofErr w:type="spellStart"/>
      <w:r>
        <w:t>염모제</w:t>
      </w:r>
      <w:proofErr w:type="spellEnd"/>
      <w:r>
        <w:t xml:space="preserve"> 등 표준의 동태적 갱신 메커니즘 수립을 모색하고, 국제 권위기관의 과학적 평가를 거치고 국외 안전 사용 이력이 있으며 성능이 우수한 원료를 중국의 사용가능 원료 목록에 적시에 포함하는 것을 지원한다.</w:t>
      </w:r>
    </w:p>
    <w:sectPr w:rsidR="00DB5A7B">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7250A"/>
    <w:multiLevelType w:val="hybridMultilevel"/>
    <w:tmpl w:val="85BE452C"/>
    <w:lvl w:ilvl="0" w:tplc="245C2378">
      <w:start w:val="1"/>
      <w:numFmt w:val="bullet"/>
      <w:lvlText w:val="●"/>
      <w:lvlJc w:val="left"/>
      <w:pPr>
        <w:ind w:left="720" w:hanging="360"/>
      </w:pPr>
    </w:lvl>
    <w:lvl w:ilvl="1" w:tplc="33C6890E">
      <w:start w:val="1"/>
      <w:numFmt w:val="bullet"/>
      <w:lvlText w:val="○"/>
      <w:lvlJc w:val="left"/>
      <w:pPr>
        <w:ind w:left="1440" w:hanging="360"/>
      </w:pPr>
    </w:lvl>
    <w:lvl w:ilvl="2" w:tplc="5D40EBD6">
      <w:start w:val="1"/>
      <w:numFmt w:val="bullet"/>
      <w:lvlText w:val="■"/>
      <w:lvlJc w:val="left"/>
      <w:pPr>
        <w:ind w:left="2160" w:hanging="360"/>
      </w:pPr>
    </w:lvl>
    <w:lvl w:ilvl="3" w:tplc="3170EACE">
      <w:start w:val="1"/>
      <w:numFmt w:val="bullet"/>
      <w:lvlText w:val="●"/>
      <w:lvlJc w:val="left"/>
      <w:pPr>
        <w:ind w:left="2880" w:hanging="360"/>
      </w:pPr>
    </w:lvl>
    <w:lvl w:ilvl="4" w:tplc="6DDE5D14">
      <w:start w:val="1"/>
      <w:numFmt w:val="bullet"/>
      <w:lvlText w:val="○"/>
      <w:lvlJc w:val="left"/>
      <w:pPr>
        <w:ind w:left="3600" w:hanging="360"/>
      </w:pPr>
    </w:lvl>
    <w:lvl w:ilvl="5" w:tplc="46662A90">
      <w:start w:val="1"/>
      <w:numFmt w:val="bullet"/>
      <w:lvlText w:val="■"/>
      <w:lvlJc w:val="left"/>
      <w:pPr>
        <w:ind w:left="4320" w:hanging="360"/>
      </w:pPr>
    </w:lvl>
    <w:lvl w:ilvl="6" w:tplc="1A325E3C">
      <w:start w:val="1"/>
      <w:numFmt w:val="bullet"/>
      <w:lvlText w:val="●"/>
      <w:lvlJc w:val="left"/>
      <w:pPr>
        <w:ind w:left="5040" w:hanging="360"/>
      </w:pPr>
    </w:lvl>
    <w:lvl w:ilvl="7" w:tplc="AC362822">
      <w:start w:val="1"/>
      <w:numFmt w:val="bullet"/>
      <w:lvlText w:val="●"/>
      <w:lvlJc w:val="left"/>
      <w:pPr>
        <w:ind w:left="5760" w:hanging="360"/>
      </w:pPr>
    </w:lvl>
    <w:lvl w:ilvl="8" w:tplc="FEE6575A">
      <w:start w:val="1"/>
      <w:numFmt w:val="bullet"/>
      <w:lvlText w:val="●"/>
      <w:lvlJc w:val="left"/>
      <w:pPr>
        <w:ind w:left="6480" w:hanging="360"/>
      </w:pPr>
    </w:lvl>
  </w:abstractNum>
  <w:num w:numId="1" w16cid:durableId="10306492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bordersDoNotSurroundHeader/>
  <w:bordersDoNotSurroundFooter/>
  <w:hideSpellingErrors/>
  <w:hideGrammaticalErrors/>
  <w:proofState w:spelling="clean" w:grammar="clean"/>
  <w:defaultTabStop w:val="80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A7B"/>
    <w:rsid w:val="009F16D2"/>
    <w:rsid w:val="00D02968"/>
    <w:rsid w:val="00DB5A7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13EEF"/>
  <w15:docId w15:val="{72380243-5941-483E-A3AA-CEBE6E067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맑은 고딕" w:eastAsia="맑은 고딕" w:hAnsi="맑은 고딕" w:cs="맑은 고딕"/>
        <w:color w:val="000000"/>
        <w:sz w:val="21"/>
        <w:szCs w:val="21"/>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굵은 텍스트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Char"/>
    <w:uiPriority w:val="99"/>
    <w:semiHidden/>
    <w:unhideWhenUsed/>
    <w:rPr>
      <w:sz w:val="20"/>
      <w:szCs w:val="20"/>
    </w:rPr>
  </w:style>
  <w:style w:type="character" w:customStyle="1" w:styleId="Char">
    <w:name w:val="각주 텍스트 Char"/>
    <w:link w:val="a7"/>
    <w:uiPriority w:val="99"/>
    <w:semiHidden/>
    <w:unhideWhenUsed/>
    <w:rPr>
      <w:sz w:val="20"/>
      <w:szCs w:val="20"/>
    </w:rPr>
  </w:style>
  <w:style w:type="character" w:styleId="a8">
    <w:name w:val="endnote reference"/>
    <w:uiPriority w:val="99"/>
    <w:semiHidden/>
    <w:unhideWhenUsed/>
    <w:rPr>
      <w:vertAlign w:val="superscript"/>
    </w:rPr>
  </w:style>
  <w:style w:type="paragraph" w:styleId="a9">
    <w:name w:val="endnote text"/>
    <w:link w:val="Char0"/>
    <w:uiPriority w:val="99"/>
    <w:semiHidden/>
    <w:unhideWhenUsed/>
    <w:rPr>
      <w:sz w:val="20"/>
      <w:szCs w:val="20"/>
    </w:rPr>
  </w:style>
  <w:style w:type="character" w:customStyle="1" w:styleId="Char0">
    <w:name w:val="미주 텍스트 Char"/>
    <w:link w:val="a9"/>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504</Words>
  <Characters>2874</Characters>
  <Application>Microsoft Office Word</Application>
  <DocSecurity>0</DocSecurity>
  <Lines>23</Lines>
  <Paragraphs>6</Paragraphs>
  <ScaleCrop>false</ScaleCrop>
  <Company/>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관리자 대한화장품협회</cp:lastModifiedBy>
  <cp:revision>2</cp:revision>
  <dcterms:created xsi:type="dcterms:W3CDTF">2026-07-02T08:13:00Z</dcterms:created>
  <dcterms:modified xsi:type="dcterms:W3CDTF">2026-07-02T08:19:00Z</dcterms:modified>
</cp:coreProperties>
</file>