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88B72" w14:textId="729DAE83" w:rsidR="003E48F4" w:rsidRPr="003D32A0" w:rsidRDefault="003D32A0">
      <w:pPr>
        <w:snapToGrid w:val="0"/>
        <w:spacing w:afterLines="100" w:after="312" w:line="560" w:lineRule="exact"/>
        <w:rPr>
          <w:rFonts w:ascii="맑은 고딕" w:eastAsia="맑은 고딕" w:hAnsi="맑은 고딕" w:cs="Times New Roman"/>
          <w:bCs/>
          <w:sz w:val="32"/>
          <w:szCs w:val="32"/>
        </w:rPr>
      </w:pPr>
      <w:r>
        <w:rPr>
          <w:rFonts w:ascii="맑은 고딕" w:eastAsia="맑은 고딕" w:hAnsi="맑은 고딕" w:cs="Times New Roman" w:hint="eastAsia"/>
          <w:bCs/>
          <w:sz w:val="32"/>
          <w:szCs w:val="32"/>
        </w:rPr>
        <w:t>별첨</w:t>
      </w:r>
      <w:r w:rsidR="00000000" w:rsidRPr="003D32A0">
        <w:rPr>
          <w:rFonts w:ascii="맑은 고딕" w:eastAsia="맑은 고딕" w:hAnsi="맑은 고딕" w:cs="Times New Roman" w:hint="eastAsia"/>
          <w:bCs/>
          <w:sz w:val="32"/>
          <w:szCs w:val="32"/>
        </w:rPr>
        <w:t xml:space="preserve"> 1</w:t>
      </w:r>
    </w:p>
    <w:p w14:paraId="5E8A6A81" w14:textId="77777777" w:rsidR="003E48F4" w:rsidRPr="003D32A0" w:rsidRDefault="003E48F4">
      <w:pPr>
        <w:snapToGrid w:val="0"/>
        <w:spacing w:afterLines="100" w:after="312" w:line="560" w:lineRule="exact"/>
        <w:rPr>
          <w:rFonts w:ascii="맑은 고딕" w:eastAsia="맑은 고딕" w:hAnsi="맑은 고딕" w:cs="Times New Roman"/>
          <w:bCs/>
          <w:sz w:val="32"/>
          <w:szCs w:val="32"/>
        </w:rPr>
      </w:pPr>
    </w:p>
    <w:p w14:paraId="57A13B38" w14:textId="77777777" w:rsidR="003E48F4" w:rsidRPr="003D32A0" w:rsidRDefault="003E48F4">
      <w:pPr>
        <w:snapToGrid w:val="0"/>
        <w:spacing w:afterLines="100" w:after="312" w:line="560" w:lineRule="exact"/>
        <w:rPr>
          <w:rFonts w:ascii="맑은 고딕" w:eastAsia="맑은 고딕" w:hAnsi="맑은 고딕" w:cs="Times New Roman"/>
          <w:bCs/>
          <w:sz w:val="32"/>
          <w:szCs w:val="32"/>
        </w:rPr>
      </w:pPr>
    </w:p>
    <w:p w14:paraId="1CD9B8AA" w14:textId="77777777" w:rsidR="003E48F4" w:rsidRPr="003D32A0" w:rsidRDefault="003E48F4">
      <w:pPr>
        <w:snapToGrid w:val="0"/>
        <w:spacing w:line="288" w:lineRule="auto"/>
        <w:jc w:val="center"/>
        <w:rPr>
          <w:rFonts w:ascii="맑은 고딕" w:eastAsia="맑은 고딕" w:hAnsi="맑은 고딕" w:cs="Times New Roman"/>
          <w:b/>
          <w:bCs/>
          <w:sz w:val="72"/>
          <w:szCs w:val="72"/>
        </w:rPr>
      </w:pPr>
    </w:p>
    <w:p w14:paraId="179C7AD9" w14:textId="77777777" w:rsidR="003E48F4" w:rsidRPr="003D32A0" w:rsidRDefault="003E48F4">
      <w:pPr>
        <w:snapToGrid w:val="0"/>
        <w:spacing w:line="288" w:lineRule="auto"/>
        <w:jc w:val="center"/>
        <w:rPr>
          <w:rFonts w:ascii="맑은 고딕" w:eastAsia="맑은 고딕" w:hAnsi="맑은 고딕" w:cs="Times New Roman"/>
          <w:b/>
          <w:bCs/>
          <w:sz w:val="72"/>
          <w:szCs w:val="72"/>
        </w:rPr>
      </w:pPr>
    </w:p>
    <w:p w14:paraId="57A13B3A" w14:textId="0F320746" w:rsidR="003E48F4" w:rsidRPr="003D32A0" w:rsidRDefault="00000000">
      <w:pPr>
        <w:snapToGrid w:val="0"/>
        <w:spacing w:line="288" w:lineRule="auto"/>
        <w:jc w:val="center"/>
        <w:rPr>
          <w:rFonts w:ascii="맑은 고딕" w:eastAsia="맑은 고딕" w:hAnsi="맑은 고딕" w:cs="Times New Roman"/>
          <w:b/>
          <w:bCs/>
          <w:sz w:val="56"/>
          <w:szCs w:val="56"/>
        </w:rPr>
      </w:pPr>
      <w:r w:rsidRPr="003D32A0">
        <w:rPr>
          <w:rFonts w:ascii="맑은 고딕" w:eastAsia="맑은 고딕" w:hAnsi="맑은 고딕" w:cs="Times New Roman" w:hint="eastAsia"/>
          <w:b/>
          <w:bCs/>
          <w:sz w:val="56"/>
          <w:szCs w:val="56"/>
        </w:rPr>
        <w:t xml:space="preserve">화장품 원료 데이터 사용 </w:t>
      </w:r>
      <w:r w:rsidR="003D32A0" w:rsidRPr="003D32A0">
        <w:rPr>
          <w:rFonts w:ascii="맑은 고딕" w:eastAsia="맑은 고딕" w:hAnsi="맑은 고딕" w:cs="Times New Roman" w:hint="eastAsia"/>
          <w:b/>
          <w:bCs/>
          <w:sz w:val="56"/>
          <w:szCs w:val="56"/>
        </w:rPr>
        <w:t>지침</w:t>
      </w:r>
    </w:p>
    <w:p w14:paraId="6FD4427D" w14:textId="31DDAC92" w:rsidR="003E48F4" w:rsidRPr="004F7366" w:rsidRDefault="004F7366">
      <w:pPr>
        <w:widowControl/>
        <w:jc w:val="center"/>
        <w:rPr>
          <w:rFonts w:ascii="맑은 고딕" w:eastAsia="맑은 고딕" w:hAnsi="맑은 고딕" w:cs="Times New Roman" w:hint="eastAsia"/>
          <w:b/>
          <w:sz w:val="40"/>
          <w:szCs w:val="40"/>
        </w:rPr>
      </w:pPr>
      <w:r w:rsidRPr="004F7366">
        <w:rPr>
          <w:rFonts w:ascii="맑은 고딕" w:eastAsia="맑은 고딕" w:hAnsi="맑은 고딕" w:cs="Times New Roman" w:hint="eastAsia"/>
          <w:b/>
          <w:sz w:val="40"/>
          <w:szCs w:val="40"/>
        </w:rPr>
        <w:t>(의견수렴안)</w:t>
      </w:r>
    </w:p>
    <w:p w14:paraId="14D963FF" w14:textId="77777777" w:rsidR="003E48F4" w:rsidRPr="003D32A0" w:rsidRDefault="003E48F4">
      <w:pPr>
        <w:widowControl/>
        <w:spacing w:line="360" w:lineRule="auto"/>
        <w:jc w:val="center"/>
        <w:rPr>
          <w:rFonts w:ascii="맑은 고딕" w:eastAsia="맑은 고딕" w:hAnsi="맑은 고딕" w:cs="Times New Roman"/>
          <w:b/>
          <w:sz w:val="72"/>
          <w:szCs w:val="72"/>
        </w:rPr>
      </w:pPr>
    </w:p>
    <w:p w14:paraId="47CF47A7" w14:textId="77777777" w:rsidR="003E48F4" w:rsidRPr="003D32A0" w:rsidRDefault="003E48F4">
      <w:pPr>
        <w:widowControl/>
        <w:spacing w:line="360" w:lineRule="auto"/>
        <w:jc w:val="center"/>
        <w:rPr>
          <w:rFonts w:ascii="맑은 고딕" w:eastAsia="맑은 고딕" w:hAnsi="맑은 고딕" w:cs="Times New Roman"/>
          <w:b/>
          <w:sz w:val="72"/>
          <w:szCs w:val="72"/>
        </w:rPr>
      </w:pPr>
    </w:p>
    <w:p w14:paraId="75FCA31D" w14:textId="77777777" w:rsidR="003E48F4" w:rsidRPr="003D32A0" w:rsidRDefault="003E48F4">
      <w:pPr>
        <w:widowControl/>
        <w:spacing w:line="360" w:lineRule="auto"/>
        <w:jc w:val="center"/>
        <w:rPr>
          <w:rFonts w:ascii="맑은 고딕" w:eastAsia="맑은 고딕" w:hAnsi="맑은 고딕" w:cs="Times New Roman"/>
          <w:b/>
          <w:sz w:val="72"/>
          <w:szCs w:val="72"/>
        </w:rPr>
      </w:pPr>
    </w:p>
    <w:p w14:paraId="780A7A61" w14:textId="77777777" w:rsidR="003E48F4" w:rsidRPr="003D32A0" w:rsidRDefault="00000000">
      <w:pPr>
        <w:widowControl/>
        <w:jc w:val="center"/>
        <w:rPr>
          <w:rFonts w:ascii="맑은 고딕" w:eastAsia="맑은 고딕" w:hAnsi="맑은 고딕" w:cs="Times New Roman"/>
          <w:sz w:val="44"/>
          <w:szCs w:val="44"/>
        </w:rPr>
      </w:pPr>
      <w:r w:rsidRPr="003D32A0">
        <w:rPr>
          <w:rFonts w:ascii="맑은 고딕" w:eastAsia="맑은 고딕" w:hAnsi="맑은 고딕" w:cs="Times New Roman" w:hint="eastAsia"/>
          <w:sz w:val="44"/>
          <w:szCs w:val="44"/>
        </w:rPr>
        <w:t>중국약품검정연구원</w:t>
      </w:r>
    </w:p>
    <w:p w14:paraId="57A13B45" w14:textId="77777777" w:rsidR="003E48F4" w:rsidRPr="003D32A0" w:rsidRDefault="003E48F4">
      <w:pPr>
        <w:snapToGrid w:val="0"/>
        <w:spacing w:line="360" w:lineRule="auto"/>
        <w:jc w:val="center"/>
        <w:rPr>
          <w:rFonts w:ascii="맑은 고딕" w:eastAsia="맑은 고딕" w:hAnsi="맑은 고딕" w:cs="Times New Roman"/>
          <w:sz w:val="44"/>
          <w:szCs w:val="44"/>
        </w:rPr>
      </w:pPr>
    </w:p>
    <w:p w14:paraId="6264E2DB" w14:textId="77777777" w:rsidR="003E48F4" w:rsidRPr="003D32A0" w:rsidRDefault="003E48F4">
      <w:pPr>
        <w:snapToGrid w:val="0"/>
        <w:spacing w:line="360" w:lineRule="auto"/>
        <w:jc w:val="center"/>
        <w:rPr>
          <w:rFonts w:ascii="맑은 고딕" w:eastAsia="맑은 고딕" w:hAnsi="맑은 고딕" w:cs="Times New Roman"/>
          <w:sz w:val="44"/>
          <w:szCs w:val="44"/>
        </w:rPr>
        <w:sectPr w:rsidR="003E48F4" w:rsidRPr="003D32A0">
          <w:footerReference w:type="default" r:id="rId7"/>
          <w:pgSz w:w="11906" w:h="16838"/>
          <w:pgMar w:top="1440" w:right="1800" w:bottom="1440" w:left="1800" w:header="851" w:footer="992" w:gutter="0"/>
          <w:cols w:space="425"/>
          <w:docGrid w:type="lines" w:linePitch="312"/>
        </w:sectPr>
      </w:pPr>
    </w:p>
    <w:sdt>
      <w:sdtPr>
        <w:rPr>
          <w:rFonts w:ascii="맑은 고딕" w:eastAsia="맑은 고딕" w:hAnsi="맑은 고딕" w:cs="Times New Roman"/>
          <w:color w:val="auto"/>
          <w:kern w:val="2"/>
          <w:sz w:val="21"/>
          <w:szCs w:val="22"/>
          <w:lang w:val="ko-KR"/>
        </w:rPr>
        <w:id w:val="-1360812175"/>
        <w:docPartObj>
          <w:docPartGallery w:val="Table of Contents"/>
          <w:docPartUnique/>
        </w:docPartObj>
      </w:sdtPr>
      <w:sdtEndPr>
        <w:rPr>
          <w:b/>
          <w:bCs/>
          <w:sz w:val="32"/>
          <w:szCs w:val="32"/>
        </w:rPr>
      </w:sdtEndPr>
      <w:sdtContent>
        <w:p w14:paraId="5645CE26" w14:textId="77777777" w:rsidR="003E48F4" w:rsidRPr="003D32A0" w:rsidRDefault="003E48F4">
          <w:pPr>
            <w:pStyle w:val="TOC11"/>
            <w:spacing w:before="0" w:afterLines="100" w:after="312" w:line="240" w:lineRule="auto"/>
            <w:jc w:val="center"/>
            <w:rPr>
              <w:rFonts w:ascii="맑은 고딕" w:eastAsia="맑은 고딕" w:hAnsi="맑은 고딕" w:cs="Times New Roman"/>
              <w:color w:val="auto"/>
              <w:kern w:val="2"/>
              <w:sz w:val="21"/>
              <w:szCs w:val="22"/>
              <w:lang w:val="ko-KR"/>
            </w:rPr>
          </w:pPr>
        </w:p>
        <w:p w14:paraId="57B66054" w14:textId="77777777" w:rsidR="003E48F4" w:rsidRPr="007D52DF" w:rsidRDefault="00000000">
          <w:pPr>
            <w:pStyle w:val="TOC11"/>
            <w:spacing w:before="0" w:afterLines="100" w:after="312" w:line="240" w:lineRule="auto"/>
            <w:jc w:val="center"/>
            <w:rPr>
              <w:rFonts w:ascii="맑은 고딕" w:eastAsia="맑은 고딕" w:hAnsi="맑은 고딕" w:cs="Times New Roman"/>
              <w:b/>
              <w:bCs/>
              <w:color w:val="auto"/>
              <w:sz w:val="28"/>
              <w:szCs w:val="28"/>
            </w:rPr>
          </w:pPr>
          <w:proofErr w:type="gramStart"/>
          <w:r w:rsidRPr="007D52DF">
            <w:rPr>
              <w:rFonts w:ascii="맑은 고딕" w:eastAsia="맑은 고딕" w:hAnsi="맑은 고딕" w:cs="Times New Roman" w:hint="eastAsia"/>
              <w:color w:val="auto"/>
              <w:sz w:val="28"/>
              <w:szCs w:val="28"/>
              <w:lang w:val="ko-KR"/>
            </w:rPr>
            <w:t>목  차</w:t>
          </w:r>
          <w:proofErr w:type="gramEnd"/>
          <w:r w:rsidRPr="007D52DF">
            <w:rPr>
              <w:rFonts w:ascii="맑은 고딕" w:eastAsia="맑은 고딕" w:hAnsi="맑은 고딕" w:cs="Times New Roman"/>
              <w:color w:val="auto"/>
              <w:sz w:val="28"/>
              <w:szCs w:val="28"/>
              <w:lang w:val="ko-KR"/>
            </w:rPr>
            <w:t xml:space="preserve">  </w:t>
          </w:r>
        </w:p>
        <w:p w14:paraId="1FCFC13A" w14:textId="77777777" w:rsidR="003E48F4" w:rsidRPr="007D52DF" w:rsidRDefault="00000000">
          <w:pPr>
            <w:pStyle w:val="10"/>
            <w:spacing w:line="800" w:lineRule="exact"/>
            <w:rPr>
              <w:rFonts w:ascii="맑은 고딕" w:eastAsia="맑은 고딕" w:hAnsi="맑은 고딕" w:cstheme="minorBidi"/>
              <w:kern w:val="2"/>
              <w:sz w:val="28"/>
              <w:szCs w:val="28"/>
            </w:rPr>
          </w:pPr>
          <w:r w:rsidRPr="007D52DF">
            <w:rPr>
              <w:rFonts w:ascii="맑은 고딕" w:eastAsia="맑은 고딕" w:hAnsi="맑은 고딕"/>
              <w:sz w:val="28"/>
              <w:szCs w:val="28"/>
            </w:rPr>
            <w:fldChar w:fldCharType="begin"/>
          </w:r>
          <w:r w:rsidRPr="007D52DF">
            <w:rPr>
              <w:rFonts w:ascii="맑은 고딕" w:eastAsia="맑은 고딕" w:hAnsi="맑은 고딕"/>
              <w:sz w:val="28"/>
              <w:szCs w:val="28"/>
            </w:rPr>
            <w:instrText xml:space="preserve"> TOC \o "1-3" \h \z \u </w:instrText>
          </w:r>
          <w:r w:rsidRPr="007D52DF">
            <w:rPr>
              <w:rFonts w:ascii="맑은 고딕" w:eastAsia="맑은 고딕" w:hAnsi="맑은 고딕"/>
              <w:sz w:val="28"/>
              <w:szCs w:val="28"/>
            </w:rPr>
            <w:fldChar w:fldCharType="separate"/>
          </w:r>
          <w:hyperlink w:anchor="_Toc237422422" w:history="1">
            <w:r w:rsidRPr="007D52DF">
              <w:rPr>
                <w:rStyle w:val="a9"/>
                <w:rFonts w:ascii="맑은 고딕" w:eastAsia="맑은 고딕" w:hAnsi="맑은 고딕"/>
                <w:color w:val="auto"/>
                <w:sz w:val="28"/>
                <w:szCs w:val="28"/>
              </w:rPr>
              <w:t>1. 주요 원료 데이터 유형</w:t>
            </w:r>
            <w:r w:rsidRPr="007D52DF">
              <w:rPr>
                <w:rFonts w:ascii="맑은 고딕" w:eastAsia="맑은 고딕" w:hAnsi="맑은 고딕"/>
                <w:sz w:val="28"/>
                <w:szCs w:val="28"/>
              </w:rPr>
              <w:tab/>
            </w:r>
            <w:r w:rsidRPr="007D52DF">
              <w:rPr>
                <w:rFonts w:ascii="맑은 고딕" w:eastAsia="맑은 고딕" w:hAnsi="맑은 고딕"/>
                <w:sz w:val="28"/>
                <w:szCs w:val="28"/>
              </w:rPr>
              <w:fldChar w:fldCharType="begin"/>
            </w:r>
            <w:r w:rsidRPr="007D52DF">
              <w:rPr>
                <w:rFonts w:ascii="맑은 고딕" w:eastAsia="맑은 고딕" w:hAnsi="맑은 고딕"/>
                <w:sz w:val="28"/>
                <w:szCs w:val="28"/>
              </w:rPr>
              <w:instrText xml:space="preserve"> PAGEREF _Toc237422422 \h </w:instrText>
            </w:r>
            <w:r w:rsidRPr="007D52DF">
              <w:rPr>
                <w:rFonts w:ascii="맑은 고딕" w:eastAsia="맑은 고딕" w:hAnsi="맑은 고딕"/>
                <w:sz w:val="28"/>
                <w:szCs w:val="28"/>
              </w:rPr>
            </w:r>
            <w:r w:rsidRPr="007D52DF">
              <w:rPr>
                <w:rFonts w:ascii="맑은 고딕" w:eastAsia="맑은 고딕" w:hAnsi="맑은 고딕"/>
                <w:sz w:val="28"/>
                <w:szCs w:val="28"/>
              </w:rPr>
              <w:fldChar w:fldCharType="separate"/>
            </w:r>
            <w:r w:rsidRPr="007D52DF">
              <w:rPr>
                <w:rFonts w:ascii="맑은 고딕" w:eastAsia="맑은 고딕" w:hAnsi="맑은 고딕"/>
                <w:sz w:val="28"/>
                <w:szCs w:val="28"/>
              </w:rPr>
              <w:t>3</w:t>
            </w:r>
            <w:r w:rsidRPr="007D52DF">
              <w:rPr>
                <w:rFonts w:ascii="맑은 고딕" w:eastAsia="맑은 고딕" w:hAnsi="맑은 고딕"/>
                <w:sz w:val="28"/>
                <w:szCs w:val="28"/>
              </w:rPr>
              <w:fldChar w:fldCharType="end"/>
            </w:r>
          </w:hyperlink>
        </w:p>
        <w:p w14:paraId="00348E10" w14:textId="77777777" w:rsidR="003E48F4" w:rsidRPr="007D52DF" w:rsidRDefault="00000000">
          <w:pPr>
            <w:pStyle w:val="10"/>
            <w:spacing w:line="800" w:lineRule="exact"/>
            <w:rPr>
              <w:rFonts w:ascii="맑은 고딕" w:eastAsia="맑은 고딕" w:hAnsi="맑은 고딕" w:cstheme="minorBidi"/>
              <w:kern w:val="2"/>
              <w:sz w:val="28"/>
              <w:szCs w:val="28"/>
            </w:rPr>
          </w:pPr>
          <w:hyperlink w:anchor="_Toc237422423" w:history="1">
            <w:r w:rsidRPr="007D52DF">
              <w:rPr>
                <w:rStyle w:val="a9"/>
                <w:rFonts w:ascii="맑은 고딕" w:eastAsia="맑은 고딕" w:hAnsi="맑은 고딕"/>
                <w:color w:val="auto"/>
                <w:sz w:val="28"/>
                <w:szCs w:val="28"/>
              </w:rPr>
              <w:t>2. 데이터 사용 요건 및 증빙자료</w:t>
            </w:r>
            <w:r w:rsidRPr="007D52DF">
              <w:rPr>
                <w:rFonts w:ascii="맑은 고딕" w:eastAsia="맑은 고딕" w:hAnsi="맑은 고딕"/>
                <w:sz w:val="28"/>
                <w:szCs w:val="28"/>
              </w:rPr>
              <w:tab/>
            </w:r>
            <w:r w:rsidRPr="007D52DF">
              <w:rPr>
                <w:rFonts w:ascii="맑은 고딕" w:eastAsia="맑은 고딕" w:hAnsi="맑은 고딕"/>
                <w:sz w:val="28"/>
                <w:szCs w:val="28"/>
              </w:rPr>
              <w:fldChar w:fldCharType="begin"/>
            </w:r>
            <w:r w:rsidRPr="007D52DF">
              <w:rPr>
                <w:rFonts w:ascii="맑은 고딕" w:eastAsia="맑은 고딕" w:hAnsi="맑은 고딕"/>
                <w:sz w:val="28"/>
                <w:szCs w:val="28"/>
              </w:rPr>
              <w:instrText xml:space="preserve"> PAGEREF _Toc237422423 \h </w:instrText>
            </w:r>
            <w:r w:rsidRPr="007D52DF">
              <w:rPr>
                <w:rFonts w:ascii="맑은 고딕" w:eastAsia="맑은 고딕" w:hAnsi="맑은 고딕"/>
                <w:sz w:val="28"/>
                <w:szCs w:val="28"/>
              </w:rPr>
            </w:r>
            <w:r w:rsidRPr="007D52DF">
              <w:rPr>
                <w:rFonts w:ascii="맑은 고딕" w:eastAsia="맑은 고딕" w:hAnsi="맑은 고딕"/>
                <w:sz w:val="28"/>
                <w:szCs w:val="28"/>
              </w:rPr>
              <w:fldChar w:fldCharType="separate"/>
            </w:r>
            <w:r w:rsidRPr="007D52DF">
              <w:rPr>
                <w:rFonts w:ascii="맑은 고딕" w:eastAsia="맑은 고딕" w:hAnsi="맑은 고딕"/>
                <w:sz w:val="28"/>
                <w:szCs w:val="28"/>
              </w:rPr>
              <w:t>4</w:t>
            </w:r>
            <w:r w:rsidRPr="007D52DF">
              <w:rPr>
                <w:rFonts w:ascii="맑은 고딕" w:eastAsia="맑은 고딕" w:hAnsi="맑은 고딕"/>
                <w:sz w:val="28"/>
                <w:szCs w:val="28"/>
              </w:rPr>
              <w:fldChar w:fldCharType="end"/>
            </w:r>
          </w:hyperlink>
        </w:p>
        <w:p w14:paraId="7B3AB3EE" w14:textId="77777777" w:rsidR="003E48F4" w:rsidRPr="007D52DF" w:rsidRDefault="00000000">
          <w:pPr>
            <w:pStyle w:val="10"/>
            <w:spacing w:line="800" w:lineRule="exact"/>
            <w:rPr>
              <w:rFonts w:ascii="맑은 고딕" w:eastAsia="맑은 고딕" w:hAnsi="맑은 고딕" w:cstheme="minorBidi"/>
              <w:kern w:val="2"/>
              <w:sz w:val="28"/>
              <w:szCs w:val="28"/>
            </w:rPr>
          </w:pPr>
          <w:hyperlink w:anchor="_Toc237422424" w:history="1">
            <w:r w:rsidRPr="007D52DF">
              <w:rPr>
                <w:rStyle w:val="a9"/>
                <w:rFonts w:ascii="맑은 고딕" w:eastAsia="맑은 고딕" w:hAnsi="맑은 고딕"/>
                <w:color w:val="auto"/>
                <w:sz w:val="28"/>
                <w:szCs w:val="28"/>
              </w:rPr>
              <w:t>3. 기타</w:t>
            </w:r>
            <w:r w:rsidRPr="007D52DF">
              <w:rPr>
                <w:rFonts w:ascii="맑은 고딕" w:eastAsia="맑은 고딕" w:hAnsi="맑은 고딕"/>
                <w:sz w:val="28"/>
                <w:szCs w:val="28"/>
              </w:rPr>
              <w:tab/>
            </w:r>
            <w:r w:rsidRPr="007D52DF">
              <w:rPr>
                <w:rFonts w:ascii="맑은 고딕" w:eastAsia="맑은 고딕" w:hAnsi="맑은 고딕"/>
                <w:sz w:val="28"/>
                <w:szCs w:val="28"/>
              </w:rPr>
              <w:fldChar w:fldCharType="begin"/>
            </w:r>
            <w:r w:rsidRPr="007D52DF">
              <w:rPr>
                <w:rFonts w:ascii="맑은 고딕" w:eastAsia="맑은 고딕" w:hAnsi="맑은 고딕"/>
                <w:sz w:val="28"/>
                <w:szCs w:val="28"/>
              </w:rPr>
              <w:instrText xml:space="preserve"> PAGEREF _Toc237422424 \h </w:instrText>
            </w:r>
            <w:r w:rsidRPr="007D52DF">
              <w:rPr>
                <w:rFonts w:ascii="맑은 고딕" w:eastAsia="맑은 고딕" w:hAnsi="맑은 고딕"/>
                <w:sz w:val="28"/>
                <w:szCs w:val="28"/>
              </w:rPr>
            </w:r>
            <w:r w:rsidRPr="007D52DF">
              <w:rPr>
                <w:rFonts w:ascii="맑은 고딕" w:eastAsia="맑은 고딕" w:hAnsi="맑은 고딕"/>
                <w:sz w:val="28"/>
                <w:szCs w:val="28"/>
              </w:rPr>
              <w:fldChar w:fldCharType="separate"/>
            </w:r>
            <w:r w:rsidRPr="007D52DF">
              <w:rPr>
                <w:rFonts w:ascii="맑은 고딕" w:eastAsia="맑은 고딕" w:hAnsi="맑은 고딕"/>
                <w:sz w:val="28"/>
                <w:szCs w:val="28"/>
              </w:rPr>
              <w:t>7</w:t>
            </w:r>
            <w:r w:rsidRPr="007D52DF">
              <w:rPr>
                <w:rFonts w:ascii="맑은 고딕" w:eastAsia="맑은 고딕" w:hAnsi="맑은 고딕"/>
                <w:sz w:val="28"/>
                <w:szCs w:val="28"/>
              </w:rPr>
              <w:fldChar w:fldCharType="end"/>
            </w:r>
          </w:hyperlink>
        </w:p>
        <w:p w14:paraId="74F5376A" w14:textId="77777777" w:rsidR="003E48F4" w:rsidRPr="003D32A0" w:rsidRDefault="00000000">
          <w:pPr>
            <w:spacing w:line="800" w:lineRule="exact"/>
            <w:rPr>
              <w:rFonts w:ascii="맑은 고딕" w:eastAsia="맑은 고딕" w:hAnsi="맑은 고딕" w:cs="Times New Roman"/>
              <w:b/>
              <w:bCs/>
              <w:sz w:val="32"/>
              <w:szCs w:val="32"/>
              <w:lang w:val="ko-KR"/>
            </w:rPr>
          </w:pPr>
          <w:r w:rsidRPr="007D52DF">
            <w:rPr>
              <w:rFonts w:ascii="맑은 고딕" w:eastAsia="맑은 고딕" w:hAnsi="맑은 고딕" w:cs="Times New Roman"/>
              <w:bCs/>
              <w:sz w:val="28"/>
              <w:szCs w:val="28"/>
              <w:lang w:val="ko-KR"/>
            </w:rPr>
            <w:fldChar w:fldCharType="end"/>
          </w:r>
        </w:p>
      </w:sdtContent>
    </w:sdt>
    <w:p w14:paraId="2B63D601" w14:textId="77777777" w:rsidR="003E48F4" w:rsidRPr="003D32A0" w:rsidRDefault="003E48F4" w:rsidP="003D32A0">
      <w:pPr>
        <w:snapToGrid w:val="0"/>
        <w:spacing w:line="360" w:lineRule="auto"/>
        <w:rPr>
          <w:rFonts w:ascii="맑은 고딕" w:eastAsia="맑은 고딕" w:hAnsi="맑은 고딕" w:cs="Times New Roman" w:hint="eastAsia"/>
          <w:sz w:val="44"/>
          <w:szCs w:val="44"/>
        </w:rPr>
        <w:sectPr w:rsidR="003E48F4" w:rsidRPr="003D32A0">
          <w:pgSz w:w="11906" w:h="16838"/>
          <w:pgMar w:top="1440" w:right="1800" w:bottom="1440" w:left="1800" w:header="851" w:footer="992" w:gutter="0"/>
          <w:cols w:space="425"/>
          <w:docGrid w:type="lines" w:linePitch="312"/>
        </w:sectPr>
      </w:pPr>
    </w:p>
    <w:p w14:paraId="076CE987" w14:textId="18EC57EB" w:rsidR="003E48F4" w:rsidRPr="007D52DF" w:rsidRDefault="00000000" w:rsidP="003D32A0">
      <w:pPr>
        <w:spacing w:line="560" w:lineRule="exact"/>
        <w:rPr>
          <w:rFonts w:ascii="맑은 고딕" w:eastAsia="맑은 고딕" w:hAnsi="맑은 고딕" w:cs="Times New Roman"/>
          <w:bCs/>
          <w:kern w:val="0"/>
          <w:sz w:val="24"/>
          <w:szCs w:val="24"/>
        </w:rPr>
      </w:pPr>
      <w:r w:rsidRPr="003D32A0">
        <w:rPr>
          <w:rFonts w:ascii="맑은 고딕" w:eastAsia="맑은 고딕" w:hAnsi="맑은 고딕" w:cs="Times New Roman" w:hint="eastAsia"/>
          <w:sz w:val="32"/>
          <w:szCs w:val="32"/>
        </w:rPr>
        <w:lastRenderedPageBreak/>
        <w:t xml:space="preserve">  </w:t>
      </w:r>
      <w:r w:rsidRPr="007D52DF">
        <w:rPr>
          <w:rFonts w:ascii="맑은 고딕" w:eastAsia="맑은 고딕" w:hAnsi="맑은 고딕" w:cs="Times New Roman"/>
          <w:bCs/>
          <w:kern w:val="0"/>
          <w:sz w:val="24"/>
          <w:szCs w:val="24"/>
        </w:rPr>
        <w:t>화장품 안전성 평가를 규범화하고 지도하기 위하여 「화장품감독관리조례」, 「화장품허가·등록관리방법」, 「화장품 안전성 평가 기술지침(2021년판)」(이하 「</w:t>
      </w:r>
      <w:proofErr w:type="spellStart"/>
      <w:r w:rsidRPr="007D52DF">
        <w:rPr>
          <w:rFonts w:ascii="맑은 고딕" w:eastAsia="맑은 고딕" w:hAnsi="맑은 고딕" w:cs="Times New Roman"/>
          <w:bCs/>
          <w:kern w:val="0"/>
          <w:sz w:val="24"/>
          <w:szCs w:val="24"/>
        </w:rPr>
        <w:t>지침」이라</w:t>
      </w:r>
      <w:proofErr w:type="spellEnd"/>
      <w:r w:rsidRPr="007D52DF">
        <w:rPr>
          <w:rFonts w:ascii="맑은 고딕" w:eastAsia="맑은 고딕" w:hAnsi="맑은 고딕" w:cs="Times New Roman"/>
          <w:bCs/>
          <w:kern w:val="0"/>
          <w:sz w:val="24"/>
          <w:szCs w:val="24"/>
        </w:rPr>
        <w:t xml:space="preserve"> 한다) 및 「화장품 안전성 평가 관리 최적화를 위한 몇 가지 조치 발표에 관한 국가약품감독관리국 공고」(2024년 제50호) 등 관련 법률·법규 및 </w:t>
      </w:r>
      <w:proofErr w:type="spellStart"/>
      <w:r w:rsidRPr="007D52DF">
        <w:rPr>
          <w:rFonts w:ascii="맑은 고딕" w:eastAsia="맑은 고딕" w:hAnsi="맑은 고딕" w:cs="Times New Roman"/>
          <w:bCs/>
          <w:kern w:val="0"/>
          <w:sz w:val="24"/>
          <w:szCs w:val="24"/>
        </w:rPr>
        <w:t>규범성</w:t>
      </w:r>
      <w:proofErr w:type="spellEnd"/>
      <w:r w:rsidRPr="007D52DF">
        <w:rPr>
          <w:rFonts w:ascii="맑은 고딕" w:eastAsia="맑은 고딕" w:hAnsi="맑은 고딕" w:cs="Times New Roman"/>
          <w:bCs/>
          <w:kern w:val="0"/>
          <w:sz w:val="24"/>
          <w:szCs w:val="24"/>
        </w:rPr>
        <w:t xml:space="preserve"> 문서의 요건에 따라 본 </w:t>
      </w:r>
      <w:r w:rsidR="003D32A0" w:rsidRPr="007D52DF">
        <w:rPr>
          <w:rFonts w:ascii="맑은 고딕" w:eastAsia="맑은 고딕" w:hAnsi="맑은 고딕" w:cs="Times New Roman"/>
          <w:bCs/>
          <w:kern w:val="0"/>
          <w:sz w:val="24"/>
          <w:szCs w:val="24"/>
        </w:rPr>
        <w:t>지침</w:t>
      </w:r>
      <w:r w:rsidRPr="007D52DF">
        <w:rPr>
          <w:rFonts w:ascii="맑은 고딕" w:eastAsia="맑은 고딕" w:hAnsi="맑은 고딕" w:cs="Times New Roman"/>
          <w:bCs/>
          <w:kern w:val="0"/>
          <w:sz w:val="24"/>
          <w:szCs w:val="24"/>
        </w:rPr>
        <w:t>을 제정한다.</w:t>
      </w:r>
    </w:p>
    <w:p w14:paraId="57A13B4B" w14:textId="4B96DDAF" w:rsidR="003E48F4" w:rsidRPr="007D52DF" w:rsidRDefault="00000000" w:rsidP="003D32A0">
      <w:pPr>
        <w:spacing w:line="560" w:lineRule="exact"/>
        <w:ind w:firstLineChars="200" w:firstLine="480"/>
        <w:rPr>
          <w:rFonts w:ascii="맑은 고딕" w:eastAsia="맑은 고딕" w:hAnsi="맑은 고딕" w:cs="Times New Roman"/>
          <w:bCs/>
          <w:kern w:val="0"/>
          <w:sz w:val="24"/>
          <w:szCs w:val="24"/>
        </w:rPr>
      </w:pPr>
      <w:r w:rsidRPr="007D52DF">
        <w:rPr>
          <w:rFonts w:ascii="맑은 고딕" w:eastAsia="맑은 고딕" w:hAnsi="맑은 고딕" w:cs="Times New Roman"/>
          <w:bCs/>
          <w:kern w:val="0"/>
          <w:sz w:val="24"/>
          <w:szCs w:val="24"/>
        </w:rPr>
        <w:t xml:space="preserve">본 </w:t>
      </w:r>
      <w:r w:rsidR="003D32A0" w:rsidRPr="007D52DF">
        <w:rPr>
          <w:rFonts w:ascii="맑은 고딕" w:eastAsia="맑은 고딕" w:hAnsi="맑은 고딕" w:cs="Times New Roman"/>
          <w:bCs/>
          <w:kern w:val="0"/>
          <w:sz w:val="24"/>
          <w:szCs w:val="24"/>
        </w:rPr>
        <w:t>지침</w:t>
      </w:r>
      <w:r w:rsidRPr="007D52DF">
        <w:rPr>
          <w:rFonts w:ascii="맑은 고딕" w:eastAsia="맑은 고딕" w:hAnsi="맑은 고딕" w:cs="Times New Roman"/>
          <w:bCs/>
          <w:kern w:val="0"/>
          <w:sz w:val="24"/>
          <w:szCs w:val="24"/>
        </w:rPr>
        <w:t>은 화장품 허가인·등록인이 안전성 평가를 실시할 때 채택할 수 있는 주요 원료 데이터 유형, 사용 요건 및 제출해야 하는 증빙자료를 명확히 한다. 화장품 허가인·등록인은 제품 처방 체계에 근거하여 수집한 안전성 평가 관련 자료(제품 및 원료의 이상반응, 안전사고 등 포함)를 분석하고, 증거가중치</w:t>
      </w:r>
      <w:r w:rsidR="007F7B23">
        <w:rPr>
          <w:rFonts w:ascii="맑은 고딕" w:eastAsia="맑은 고딕" w:hAnsi="맑은 고딕" w:cs="Times New Roman" w:hint="eastAsia"/>
          <w:bCs/>
          <w:kern w:val="0"/>
          <w:sz w:val="24"/>
          <w:szCs w:val="24"/>
        </w:rPr>
        <w:t xml:space="preserve"> </w:t>
      </w:r>
      <w:r w:rsidRPr="007D52DF">
        <w:rPr>
          <w:rFonts w:ascii="맑은 고딕" w:eastAsia="맑은 고딕" w:hAnsi="맑은 고딕" w:cs="Times New Roman"/>
          <w:bCs/>
          <w:kern w:val="0"/>
          <w:sz w:val="24"/>
          <w:szCs w:val="24"/>
        </w:rPr>
        <w:t>원칙에 따라 과학적으로 안전성 평가를 실시하여 기업의 주체적 책임을 이행하고 제품의 안전성을 보장하여야 한다.</w:t>
      </w:r>
    </w:p>
    <w:p w14:paraId="57A13B4C" w14:textId="77777777" w:rsidR="003E48F4" w:rsidRPr="007D52DF" w:rsidRDefault="00000000" w:rsidP="003D32A0">
      <w:pPr>
        <w:pStyle w:val="1"/>
        <w:spacing w:before="0" w:after="0" w:line="560" w:lineRule="exact"/>
        <w:ind w:firstLineChars="200" w:firstLine="480"/>
        <w:rPr>
          <w:rFonts w:ascii="맑은 고딕" w:eastAsia="맑은 고딕" w:hAnsi="맑은 고딕" w:cs="Times New Roman"/>
          <w:b w:val="0"/>
          <w:bCs w:val="0"/>
          <w:sz w:val="24"/>
          <w:szCs w:val="24"/>
        </w:rPr>
      </w:pPr>
      <w:bookmarkStart w:id="0" w:name="_Toc124498234"/>
      <w:bookmarkStart w:id="1" w:name="_Toc237422422"/>
      <w:r w:rsidRPr="007D52DF">
        <w:rPr>
          <w:rFonts w:ascii="맑은 고딕" w:eastAsia="맑은 고딕" w:hAnsi="맑은 고딕" w:cs="Times New Roman"/>
          <w:b w:val="0"/>
          <w:bCs w:val="0"/>
          <w:sz w:val="24"/>
          <w:szCs w:val="24"/>
        </w:rPr>
        <w:t>1. 주요 원료 데이터 유형</w:t>
      </w:r>
      <w:bookmarkEnd w:id="0"/>
      <w:bookmarkEnd w:id="1"/>
    </w:p>
    <w:p w14:paraId="5712531D" w14:textId="77777777" w:rsidR="003E48F4" w:rsidRPr="007D52DF" w:rsidRDefault="00000000" w:rsidP="003D32A0">
      <w:pPr>
        <w:spacing w:line="560" w:lineRule="exact"/>
        <w:ind w:firstLineChars="200" w:firstLine="480"/>
        <w:rPr>
          <w:rFonts w:ascii="맑은 고딕" w:eastAsia="맑은 고딕" w:hAnsi="맑은 고딕" w:cs="Times New Roman"/>
          <w:spacing w:val="-6"/>
          <w:kern w:val="0"/>
          <w:sz w:val="24"/>
          <w:szCs w:val="24"/>
        </w:rPr>
      </w:pPr>
      <w:r w:rsidRPr="007D52DF">
        <w:rPr>
          <w:rFonts w:ascii="맑은 고딕" w:eastAsia="맑은 고딕" w:hAnsi="맑은 고딕" w:cs="Times New Roman" w:hint="eastAsia"/>
          <w:kern w:val="0"/>
          <w:sz w:val="24"/>
          <w:szCs w:val="24"/>
        </w:rPr>
        <w:t>(1) 「화장품안전기술규범」(이하 「</w:t>
      </w:r>
      <w:proofErr w:type="spellStart"/>
      <w:r w:rsidRPr="007D52DF">
        <w:rPr>
          <w:rFonts w:ascii="맑은 고딕" w:eastAsia="맑은 고딕" w:hAnsi="맑은 고딕" w:cs="Times New Roman" w:hint="eastAsia"/>
          <w:kern w:val="0"/>
          <w:sz w:val="24"/>
          <w:szCs w:val="24"/>
        </w:rPr>
        <w:t>기술규범」이라</w:t>
      </w:r>
      <w:proofErr w:type="spellEnd"/>
      <w:r w:rsidRPr="007D52DF">
        <w:rPr>
          <w:rFonts w:ascii="맑은 고딕" w:eastAsia="맑은 고딕" w:hAnsi="맑은 고딕" w:cs="Times New Roman" w:hint="eastAsia"/>
          <w:kern w:val="0"/>
          <w:sz w:val="24"/>
          <w:szCs w:val="24"/>
        </w:rPr>
        <w:t xml:space="preserve"> 한다) 중의 사용제한 성분, 사용허용 </w:t>
      </w:r>
      <w:proofErr w:type="spellStart"/>
      <w:r w:rsidRPr="007D52DF">
        <w:rPr>
          <w:rFonts w:ascii="맑은 고딕" w:eastAsia="맑은 고딕" w:hAnsi="맑은 고딕" w:cs="Times New Roman" w:hint="eastAsia"/>
          <w:kern w:val="0"/>
          <w:sz w:val="24"/>
          <w:szCs w:val="24"/>
        </w:rPr>
        <w:t>보존제</w:t>
      </w:r>
      <w:proofErr w:type="spellEnd"/>
      <w:r w:rsidRPr="007D52DF">
        <w:rPr>
          <w:rFonts w:ascii="맑은 고딕" w:eastAsia="맑은 고딕" w:hAnsi="맑은 고딕" w:cs="Times New Roman" w:hint="eastAsia"/>
          <w:kern w:val="0"/>
          <w:sz w:val="24"/>
          <w:szCs w:val="24"/>
        </w:rPr>
        <w:t xml:space="preserve">, 사용허용 자외선차단제, 사용허용 착색제 및 사용허용 </w:t>
      </w:r>
      <w:proofErr w:type="spellStart"/>
      <w:r w:rsidRPr="007D52DF">
        <w:rPr>
          <w:rFonts w:ascii="맑은 고딕" w:eastAsia="맑은 고딕" w:hAnsi="맑은 고딕" w:cs="Times New Roman" w:hint="eastAsia"/>
          <w:kern w:val="0"/>
          <w:sz w:val="24"/>
          <w:szCs w:val="24"/>
        </w:rPr>
        <w:t>염모제</w:t>
      </w:r>
      <w:proofErr w:type="spellEnd"/>
    </w:p>
    <w:p w14:paraId="24D94CA1"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(2) 국제 화장품 안전성 평가기관이 공표한 평가 결론</w:t>
      </w:r>
    </w:p>
    <w:p w14:paraId="17FCC52B"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(3) 세계보건기구(WHO), 국제연합식량농업기구(FAO) 등 권위 있는 기관이 이미 공표한 안전 한도 또는 결론</w:t>
      </w:r>
    </w:p>
    <w:p w14:paraId="0FAC301E"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 xml:space="preserve">(4) 감독관리 당국이 공표한 </w:t>
      </w:r>
      <w:proofErr w:type="spellStart"/>
      <w:r w:rsidRPr="007D52DF">
        <w:rPr>
          <w:rFonts w:ascii="맑은 고딕" w:eastAsia="맑은 고딕" w:hAnsi="맑은 고딕" w:cs="Times New Roman" w:hint="eastAsia"/>
          <w:kern w:val="0"/>
          <w:sz w:val="24"/>
          <w:szCs w:val="24"/>
        </w:rPr>
        <w:t>기출시</w:t>
      </w:r>
      <w:proofErr w:type="spellEnd"/>
      <w:r w:rsidRPr="007D52DF">
        <w:rPr>
          <w:rFonts w:ascii="맑은 고딕" w:eastAsia="맑은 고딕" w:hAnsi="맑은 고딕" w:cs="Times New Roman" w:hint="eastAsia"/>
          <w:kern w:val="0"/>
          <w:sz w:val="24"/>
          <w:szCs w:val="24"/>
        </w:rPr>
        <w:t xml:space="preserve"> 제품의 원료 사용 정보</w:t>
      </w:r>
    </w:p>
    <w:p w14:paraId="0B4C4903"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(5) 원료의 3년 안전 사용 이력</w:t>
      </w:r>
    </w:p>
    <w:p w14:paraId="3222615F"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(6) 안전 식용 이력</w:t>
      </w:r>
    </w:p>
    <w:p w14:paraId="17580179"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 xml:space="preserve">(7) 구조 및 성질이 안정적인 고분자 </w:t>
      </w:r>
      <w:proofErr w:type="spellStart"/>
      <w:r w:rsidRPr="007D52DF">
        <w:rPr>
          <w:rFonts w:ascii="맑은 고딕" w:eastAsia="맑은 고딕" w:hAnsi="맑은 고딕" w:cs="Times New Roman" w:hint="eastAsia"/>
          <w:kern w:val="0"/>
          <w:sz w:val="24"/>
          <w:szCs w:val="24"/>
        </w:rPr>
        <w:t>중합체</w:t>
      </w:r>
      <w:proofErr w:type="spellEnd"/>
      <w:r w:rsidRPr="007D52DF">
        <w:rPr>
          <w:rFonts w:ascii="맑은 고딕" w:eastAsia="맑은 고딕" w:hAnsi="맑은 고딕" w:cs="Times New Roman" w:hint="eastAsia"/>
          <w:kern w:val="0"/>
          <w:sz w:val="24"/>
          <w:szCs w:val="24"/>
        </w:rPr>
        <w:t>(생물학적 활성이 높은 원료는 제외)</w:t>
      </w:r>
    </w:p>
    <w:p w14:paraId="57A13B4F" w14:textId="77777777" w:rsidR="003E48F4" w:rsidRPr="007D52DF" w:rsidRDefault="00000000" w:rsidP="003D32A0">
      <w:pPr>
        <w:pStyle w:val="1"/>
        <w:spacing w:before="0" w:after="0" w:line="560" w:lineRule="exact"/>
        <w:ind w:firstLineChars="200" w:firstLine="480"/>
        <w:rPr>
          <w:rFonts w:ascii="맑은 고딕" w:eastAsia="맑은 고딕" w:hAnsi="맑은 고딕" w:cs="Times New Roman"/>
          <w:b w:val="0"/>
          <w:bCs w:val="0"/>
          <w:sz w:val="24"/>
          <w:szCs w:val="24"/>
        </w:rPr>
      </w:pPr>
      <w:bookmarkStart w:id="2" w:name="_Toc237422423"/>
      <w:r w:rsidRPr="007D52DF">
        <w:rPr>
          <w:rFonts w:ascii="맑은 고딕" w:eastAsia="맑은 고딕" w:hAnsi="맑은 고딕" w:cs="Times New Roman" w:hint="eastAsia"/>
          <w:b w:val="0"/>
          <w:bCs w:val="0"/>
          <w:sz w:val="24"/>
          <w:szCs w:val="24"/>
        </w:rPr>
        <w:lastRenderedPageBreak/>
        <w:t>2. 데이터 사용 요건 및 증빙자료</w:t>
      </w:r>
      <w:bookmarkEnd w:id="2"/>
    </w:p>
    <w:p w14:paraId="58174E7D"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kern w:val="0"/>
          <w:sz w:val="24"/>
          <w:szCs w:val="24"/>
        </w:rPr>
        <w:t xml:space="preserve">(1) 「기술규범」 중의 사용제한 성분, 사용허용 </w:t>
      </w:r>
      <w:proofErr w:type="spellStart"/>
      <w:r w:rsidRPr="007D52DF">
        <w:rPr>
          <w:rFonts w:ascii="맑은 고딕" w:eastAsia="맑은 고딕" w:hAnsi="맑은 고딕" w:cs="Times New Roman"/>
          <w:kern w:val="0"/>
          <w:sz w:val="24"/>
          <w:szCs w:val="24"/>
        </w:rPr>
        <w:t>보존제</w:t>
      </w:r>
      <w:proofErr w:type="spellEnd"/>
      <w:r w:rsidRPr="007D52DF">
        <w:rPr>
          <w:rFonts w:ascii="맑은 고딕" w:eastAsia="맑은 고딕" w:hAnsi="맑은 고딕" w:cs="Times New Roman"/>
          <w:kern w:val="0"/>
          <w:sz w:val="24"/>
          <w:szCs w:val="24"/>
        </w:rPr>
        <w:t xml:space="preserve">, 사용허용 자외선차단제, 사용허용 착색제 및 사용허용 </w:t>
      </w:r>
      <w:proofErr w:type="spellStart"/>
      <w:r w:rsidRPr="007D52DF">
        <w:rPr>
          <w:rFonts w:ascii="맑은 고딕" w:eastAsia="맑은 고딕" w:hAnsi="맑은 고딕" w:cs="Times New Roman"/>
          <w:kern w:val="0"/>
          <w:sz w:val="24"/>
          <w:szCs w:val="24"/>
        </w:rPr>
        <w:t>염모제</w:t>
      </w:r>
      <w:proofErr w:type="spellEnd"/>
    </w:p>
    <w:p w14:paraId="2EDB1497" w14:textId="77777777" w:rsidR="003E48F4" w:rsidRPr="007D52DF" w:rsidRDefault="00000000" w:rsidP="003D32A0">
      <w:pPr>
        <w:spacing w:line="560" w:lineRule="exact"/>
        <w:ind w:firstLineChars="200" w:firstLine="456"/>
        <w:rPr>
          <w:rFonts w:ascii="맑은 고딕" w:eastAsia="맑은 고딕" w:hAnsi="맑은 고딕" w:cs="Times New Roman"/>
          <w:spacing w:val="-6"/>
          <w:kern w:val="0"/>
          <w:sz w:val="24"/>
          <w:szCs w:val="24"/>
        </w:rPr>
      </w:pPr>
      <w:r w:rsidRPr="007D52DF">
        <w:rPr>
          <w:rFonts w:ascii="맑은 고딕" w:eastAsia="맑은 고딕" w:hAnsi="맑은 고딕" w:cs="Times New Roman" w:hint="eastAsia"/>
          <w:spacing w:val="-6"/>
          <w:kern w:val="0"/>
          <w:sz w:val="24"/>
          <w:szCs w:val="24"/>
        </w:rPr>
        <w:t>「</w:t>
      </w:r>
      <w:proofErr w:type="spellStart"/>
      <w:r w:rsidRPr="007D52DF">
        <w:rPr>
          <w:rFonts w:ascii="맑은 고딕" w:eastAsia="맑은 고딕" w:hAnsi="맑은 고딕" w:cs="Times New Roman" w:hint="eastAsia"/>
          <w:spacing w:val="-6"/>
          <w:kern w:val="0"/>
          <w:sz w:val="24"/>
          <w:szCs w:val="24"/>
        </w:rPr>
        <w:t>기술규범」의</w:t>
      </w:r>
      <w:proofErr w:type="spellEnd"/>
      <w:r w:rsidRPr="007D52DF">
        <w:rPr>
          <w:rFonts w:ascii="맑은 고딕" w:eastAsia="맑은 고딕" w:hAnsi="맑은 고딕" w:cs="Times New Roman" w:hint="eastAsia"/>
          <w:spacing w:val="-6"/>
          <w:kern w:val="0"/>
          <w:sz w:val="24"/>
          <w:szCs w:val="24"/>
        </w:rPr>
        <w:t xml:space="preserve"> 사용제한 성분, 사용허용 </w:t>
      </w:r>
      <w:proofErr w:type="spellStart"/>
      <w:r w:rsidRPr="007D52DF">
        <w:rPr>
          <w:rFonts w:ascii="맑은 고딕" w:eastAsia="맑은 고딕" w:hAnsi="맑은 고딕" w:cs="Times New Roman" w:hint="eastAsia"/>
          <w:spacing w:val="-6"/>
          <w:kern w:val="0"/>
          <w:sz w:val="24"/>
          <w:szCs w:val="24"/>
        </w:rPr>
        <w:t>보존제</w:t>
      </w:r>
      <w:proofErr w:type="spellEnd"/>
      <w:r w:rsidRPr="007D52DF">
        <w:rPr>
          <w:rFonts w:ascii="맑은 고딕" w:eastAsia="맑은 고딕" w:hAnsi="맑은 고딕" w:cs="Times New Roman" w:hint="eastAsia"/>
          <w:spacing w:val="-6"/>
          <w:kern w:val="0"/>
          <w:sz w:val="24"/>
          <w:szCs w:val="24"/>
        </w:rPr>
        <w:t xml:space="preserve">, 사용허용 자외선차단제, 사용허용 착색제 및 사용허용 </w:t>
      </w:r>
      <w:proofErr w:type="spellStart"/>
      <w:r w:rsidRPr="007D52DF">
        <w:rPr>
          <w:rFonts w:ascii="맑은 고딕" w:eastAsia="맑은 고딕" w:hAnsi="맑은 고딕" w:cs="Times New Roman" w:hint="eastAsia"/>
          <w:spacing w:val="-6"/>
          <w:kern w:val="0"/>
          <w:sz w:val="24"/>
          <w:szCs w:val="24"/>
        </w:rPr>
        <w:t>염모제</w:t>
      </w:r>
      <w:proofErr w:type="spellEnd"/>
      <w:r w:rsidRPr="007D52DF">
        <w:rPr>
          <w:rFonts w:ascii="맑은 고딕" w:eastAsia="맑은 고딕" w:hAnsi="맑은 고딕" w:cs="Times New Roman" w:hint="eastAsia"/>
          <w:spacing w:val="-6"/>
          <w:kern w:val="0"/>
          <w:sz w:val="24"/>
          <w:szCs w:val="24"/>
        </w:rPr>
        <w:t xml:space="preserve"> 목록에 수재된 원료를 사용하는 경우 「</w:t>
      </w:r>
      <w:proofErr w:type="spellStart"/>
      <w:r w:rsidRPr="007D52DF">
        <w:rPr>
          <w:rFonts w:ascii="맑은 고딕" w:eastAsia="맑은 고딕" w:hAnsi="맑은 고딕" w:cs="Times New Roman" w:hint="eastAsia"/>
          <w:spacing w:val="-6"/>
          <w:kern w:val="0"/>
          <w:sz w:val="24"/>
          <w:szCs w:val="24"/>
        </w:rPr>
        <w:t>기술규범」의</w:t>
      </w:r>
      <w:proofErr w:type="spellEnd"/>
      <w:r w:rsidRPr="007D52DF">
        <w:rPr>
          <w:rFonts w:ascii="맑은 고딕" w:eastAsia="맑은 고딕" w:hAnsi="맑은 고딕" w:cs="Times New Roman" w:hint="eastAsia"/>
          <w:spacing w:val="-6"/>
          <w:kern w:val="0"/>
          <w:sz w:val="24"/>
          <w:szCs w:val="24"/>
        </w:rPr>
        <w:t xml:space="preserve"> 요건을 충족하여야 한다.</w:t>
      </w:r>
    </w:p>
    <w:p w14:paraId="146A978B"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(2) 국제 화장품 안전성 평가기관이 공표한 평가 결론</w:t>
      </w:r>
    </w:p>
    <w:p w14:paraId="4ADD3563"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 xml:space="preserve">EU 소비자위원회(SCCS), 미국 </w:t>
      </w:r>
      <w:proofErr w:type="spellStart"/>
      <w:r w:rsidRPr="007D52DF">
        <w:rPr>
          <w:rFonts w:ascii="맑은 고딕" w:eastAsia="맑은 고딕" w:hAnsi="맑은 고딕" w:cs="Times New Roman" w:hint="eastAsia"/>
          <w:kern w:val="0"/>
          <w:sz w:val="24"/>
          <w:szCs w:val="24"/>
        </w:rPr>
        <w:t>화장품원료평가위원회</w:t>
      </w:r>
      <w:proofErr w:type="spellEnd"/>
      <w:r w:rsidRPr="007D52DF">
        <w:rPr>
          <w:rFonts w:ascii="맑은 고딕" w:eastAsia="맑은 고딕" w:hAnsi="맑은 고딕" w:cs="Times New Roman" w:hint="eastAsia"/>
          <w:kern w:val="0"/>
          <w:sz w:val="24"/>
          <w:szCs w:val="24"/>
        </w:rPr>
        <w:t>(CIR) 및 기타 국제 화장품 안전성 평가기관이 이미 안전성 평가 결론을 공표한 원료는 관련 평가자료를 분석하여야 하며, 중국 화장품 관련 법규 및 사용 조건에 부합하는 경우 관련 평가 결론을 채택할 수 있다. 사용 제한 조건이 있는 원료는 제한 조건을 충족하는 경우에 한하여 그 평가 결론을 채택하여야 한다. 서로 다른 권위 있는 기관의 평가 결과가 일치하지 않는 경우에는 데이터의 신뢰성과 관련성에 근거하여 과학적이고 합리적으로 관련 평가 결론을 채택한다.</w:t>
      </w:r>
    </w:p>
    <w:p w14:paraId="2BB5417D"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허가 또는 등록 제품의 안전성 평가 자료에는 안전성 평가기관과 평가 결론을 명시하여야 한다.</w:t>
      </w:r>
    </w:p>
    <w:p w14:paraId="3DAA1CE9"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(3) 세계보건기구(WHO), 국제연합식량농업기구(FAO) 등 권위 있는 기관이 이미 공표한 안전 한도 또는 결론</w:t>
      </w:r>
    </w:p>
    <w:p w14:paraId="71BE3ED7"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 xml:space="preserve">세계보건기구(WHO), 국제연합식량농업기구(FAO) 및 기타 권위 있는 기관이 이미 공표한 안전 한도 또는 결론, 예를 들어 1일 </w:t>
      </w:r>
      <w:proofErr w:type="spellStart"/>
      <w:r w:rsidRPr="007D52DF">
        <w:rPr>
          <w:rFonts w:ascii="맑은 고딕" w:eastAsia="맑은 고딕" w:hAnsi="맑은 고딕" w:cs="Times New Roman" w:hint="eastAsia"/>
          <w:kern w:val="0"/>
          <w:sz w:val="24"/>
          <w:szCs w:val="24"/>
        </w:rPr>
        <w:t>섭취허용량</w:t>
      </w:r>
      <w:proofErr w:type="spellEnd"/>
      <w:r w:rsidRPr="007D52DF">
        <w:rPr>
          <w:rFonts w:ascii="맑은 고딕" w:eastAsia="맑은 고딕" w:hAnsi="맑은 고딕" w:cs="Times New Roman" w:hint="eastAsia"/>
          <w:kern w:val="0"/>
          <w:sz w:val="24"/>
          <w:szCs w:val="24"/>
        </w:rPr>
        <w:t>(ADI), 1일 내용섭취량(TDI), 참고용량(</w:t>
      </w:r>
      <w:proofErr w:type="spellStart"/>
      <w:r w:rsidRPr="007D52DF">
        <w:rPr>
          <w:rFonts w:ascii="맑은 고딕" w:eastAsia="맑은 고딕" w:hAnsi="맑은 고딕" w:cs="Times New Roman" w:hint="eastAsia"/>
          <w:kern w:val="0"/>
          <w:sz w:val="24"/>
          <w:szCs w:val="24"/>
        </w:rPr>
        <w:t>RfD</w:t>
      </w:r>
      <w:proofErr w:type="spellEnd"/>
      <w:r w:rsidRPr="007D52DF">
        <w:rPr>
          <w:rFonts w:ascii="맑은 고딕" w:eastAsia="맑은 고딕" w:hAnsi="맑은 고딕" w:cs="Times New Roman" w:hint="eastAsia"/>
          <w:kern w:val="0"/>
          <w:sz w:val="24"/>
          <w:szCs w:val="24"/>
        </w:rPr>
        <w:t xml:space="preserve">), 일반적으로 안전하다고 인정되는 물질(GRAS), </w:t>
      </w:r>
      <w:proofErr w:type="spellStart"/>
      <w:r w:rsidRPr="007D52DF">
        <w:rPr>
          <w:rFonts w:ascii="맑은 고딕" w:eastAsia="맑은 고딕" w:hAnsi="맑은 고딕" w:cs="Times New Roman" w:hint="eastAsia"/>
          <w:kern w:val="0"/>
          <w:sz w:val="24"/>
          <w:szCs w:val="24"/>
        </w:rPr>
        <w:t>국제향료협회</w:t>
      </w:r>
      <w:proofErr w:type="spellEnd"/>
      <w:r w:rsidRPr="007D52DF">
        <w:rPr>
          <w:rFonts w:ascii="맑은 고딕" w:eastAsia="맑은 고딕" w:hAnsi="맑은 고딕" w:cs="Times New Roman" w:hint="eastAsia"/>
          <w:kern w:val="0"/>
          <w:sz w:val="24"/>
          <w:szCs w:val="24"/>
        </w:rPr>
        <w:t xml:space="preserve">(IFRA) 및 중국 표준관리 당국이 발표한 향료 표준, 중국 또는 </w:t>
      </w:r>
      <w:r w:rsidRPr="007D52DF">
        <w:rPr>
          <w:rFonts w:ascii="맑은 고딕" w:eastAsia="맑은 고딕" w:hAnsi="맑은 고딕" w:cs="Times New Roman" w:hint="eastAsia"/>
          <w:kern w:val="0"/>
          <w:sz w:val="24"/>
          <w:szCs w:val="24"/>
        </w:rPr>
        <w:lastRenderedPageBreak/>
        <w:t xml:space="preserve">기타 국가의 감독관리 당국이 공표한 </w:t>
      </w:r>
      <w:proofErr w:type="spellStart"/>
      <w:r w:rsidRPr="007D52DF">
        <w:rPr>
          <w:rFonts w:ascii="맑은 고딕" w:eastAsia="맑은 고딕" w:hAnsi="맑은 고딕" w:cs="Times New Roman" w:hint="eastAsia"/>
          <w:kern w:val="0"/>
          <w:sz w:val="24"/>
          <w:szCs w:val="24"/>
        </w:rPr>
        <w:t>기미제거·미백</w:t>
      </w:r>
      <w:proofErr w:type="spellEnd"/>
      <w:r w:rsidRPr="007D52DF">
        <w:rPr>
          <w:rFonts w:ascii="맑은 고딕" w:eastAsia="맑은 고딕" w:hAnsi="맑은 고딕" w:cs="Times New Roman" w:hint="eastAsia"/>
          <w:kern w:val="0"/>
          <w:sz w:val="24"/>
          <w:szCs w:val="24"/>
        </w:rPr>
        <w:t xml:space="preserve"> 원료 사용량 등은 관련 자료를 분석하여야 하며, 중국 화장품 관련 법규 규정에 부합하는 경우 관련 결론을 채택할 수 있다. 서로 다른 권위 있는 기관이 발표한 결과가 일치하지 않는 경우에는 데이터의 신뢰성과 관련성에 근거하여 과학적이고 합리적으로 관련 결론을 채택한다. 국소독성 자료가 부족한 경우에는 제품의 사용 부위 및 사용 방법 등을 고려하여 국소독성에 대한 평가를 실시하여야 한다.</w:t>
      </w:r>
    </w:p>
    <w:p w14:paraId="4B5D49F3"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허가 또는 등록 제품의 안전성 평가 자료에는 안전 한도 또는 결론의 출처를 명시하여야 하며, 관련 자료는 보관하여 점검에 대비하여야 한다.</w:t>
      </w:r>
    </w:p>
    <w:p w14:paraId="1F0DF7CC"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 xml:space="preserve">(4) 감독관리 당국이 공표한 </w:t>
      </w:r>
      <w:proofErr w:type="spellStart"/>
      <w:r w:rsidRPr="007D52DF">
        <w:rPr>
          <w:rFonts w:ascii="맑은 고딕" w:eastAsia="맑은 고딕" w:hAnsi="맑은 고딕" w:cs="Times New Roman" w:hint="eastAsia"/>
          <w:kern w:val="0"/>
          <w:sz w:val="24"/>
          <w:szCs w:val="24"/>
        </w:rPr>
        <w:t>기출시</w:t>
      </w:r>
      <w:proofErr w:type="spellEnd"/>
      <w:r w:rsidRPr="007D52DF">
        <w:rPr>
          <w:rFonts w:ascii="맑은 고딕" w:eastAsia="맑은 고딕" w:hAnsi="맑은 고딕" w:cs="Times New Roman" w:hint="eastAsia"/>
          <w:kern w:val="0"/>
          <w:sz w:val="24"/>
          <w:szCs w:val="24"/>
        </w:rPr>
        <w:t xml:space="preserve"> 제품의 원료 사용 정보</w:t>
      </w:r>
    </w:p>
    <w:p w14:paraId="1B1A3F82" w14:textId="77777777" w:rsidR="003E48F4" w:rsidRPr="007D52DF" w:rsidRDefault="00000000" w:rsidP="003D32A0">
      <w:pPr>
        <w:spacing w:line="560" w:lineRule="exact"/>
        <w:ind w:firstLineChars="200" w:firstLine="456"/>
        <w:rPr>
          <w:rFonts w:ascii="맑은 고딕" w:eastAsia="맑은 고딕" w:hAnsi="맑은 고딕" w:cs="Times New Roman"/>
          <w:spacing w:val="-6"/>
          <w:kern w:val="0"/>
          <w:sz w:val="24"/>
          <w:szCs w:val="24"/>
        </w:rPr>
      </w:pPr>
      <w:r w:rsidRPr="007D52DF">
        <w:rPr>
          <w:rFonts w:ascii="맑은 고딕" w:eastAsia="맑은 고딕" w:hAnsi="맑은 고딕" w:cs="Times New Roman" w:hint="eastAsia"/>
          <w:spacing w:val="-6"/>
          <w:kern w:val="0"/>
          <w:sz w:val="24"/>
          <w:szCs w:val="24"/>
        </w:rPr>
        <w:t xml:space="preserve">감독관리 당국이 공표한 </w:t>
      </w:r>
      <w:proofErr w:type="spellStart"/>
      <w:r w:rsidRPr="007D52DF">
        <w:rPr>
          <w:rFonts w:ascii="맑은 고딕" w:eastAsia="맑은 고딕" w:hAnsi="맑은 고딕" w:cs="Times New Roman" w:hint="eastAsia"/>
          <w:spacing w:val="-6"/>
          <w:kern w:val="0"/>
          <w:sz w:val="24"/>
          <w:szCs w:val="24"/>
        </w:rPr>
        <w:t>기출시</w:t>
      </w:r>
      <w:proofErr w:type="spellEnd"/>
      <w:r w:rsidRPr="007D52DF">
        <w:rPr>
          <w:rFonts w:ascii="맑은 고딕" w:eastAsia="맑은 고딕" w:hAnsi="맑은 고딕" w:cs="Times New Roman" w:hint="eastAsia"/>
          <w:spacing w:val="-6"/>
          <w:kern w:val="0"/>
          <w:sz w:val="24"/>
          <w:szCs w:val="24"/>
        </w:rPr>
        <w:t xml:space="preserve"> 제품의 원료 사용 정보는 평가 시 참고자료로 활용할 수 있다.</w:t>
      </w:r>
    </w:p>
    <w:p w14:paraId="124AC77E"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(5) 원료의 3년 안전 사용 이력</w:t>
      </w:r>
    </w:p>
    <w:p w14:paraId="59D3D53C"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중국 국내외에서 이미 3년(3년 포함) 이상의 안전 사용 이력이 있는 원료로서, 사용된 원료와 평가 대상 원료가 동일 원료, 즉 「</w:t>
      </w:r>
      <w:proofErr w:type="spellStart"/>
      <w:r w:rsidRPr="007D52DF">
        <w:rPr>
          <w:rFonts w:ascii="맑은 고딕" w:eastAsia="맑은 고딕" w:hAnsi="맑은 고딕" w:cs="Times New Roman" w:hint="eastAsia"/>
          <w:kern w:val="0"/>
          <w:sz w:val="24"/>
          <w:szCs w:val="24"/>
        </w:rPr>
        <w:t>기사용</w:t>
      </w:r>
      <w:proofErr w:type="spellEnd"/>
      <w:r w:rsidRPr="007D52DF">
        <w:rPr>
          <w:rFonts w:ascii="맑은 고딕" w:eastAsia="맑은 고딕" w:hAnsi="맑은 고딕" w:cs="Times New Roman" w:hint="eastAsia"/>
          <w:kern w:val="0"/>
          <w:sz w:val="24"/>
          <w:szCs w:val="24"/>
        </w:rPr>
        <w:t xml:space="preserve"> 화장품 원료 </w:t>
      </w:r>
      <w:proofErr w:type="spellStart"/>
      <w:r w:rsidRPr="007D52DF">
        <w:rPr>
          <w:rFonts w:ascii="맑은 고딕" w:eastAsia="맑은 고딕" w:hAnsi="맑은 고딕" w:cs="Times New Roman" w:hint="eastAsia"/>
          <w:kern w:val="0"/>
          <w:sz w:val="24"/>
          <w:szCs w:val="24"/>
        </w:rPr>
        <w:t>목록」에서</w:t>
      </w:r>
      <w:proofErr w:type="spellEnd"/>
      <w:r w:rsidRPr="007D52DF">
        <w:rPr>
          <w:rFonts w:ascii="맑은 고딕" w:eastAsia="맑은 고딕" w:hAnsi="맑은 고딕" w:cs="Times New Roman" w:hint="eastAsia"/>
          <w:kern w:val="0"/>
          <w:sz w:val="24"/>
          <w:szCs w:val="24"/>
        </w:rPr>
        <w:t xml:space="preserve"> 일련번호가 동일하고, 해당 원료를 사용한 </w:t>
      </w:r>
      <w:proofErr w:type="spellStart"/>
      <w:r w:rsidRPr="007D52DF">
        <w:rPr>
          <w:rFonts w:ascii="맑은 고딕" w:eastAsia="맑은 고딕" w:hAnsi="맑은 고딕" w:cs="Times New Roman" w:hint="eastAsia"/>
          <w:kern w:val="0"/>
          <w:sz w:val="24"/>
          <w:szCs w:val="24"/>
        </w:rPr>
        <w:t>기출시</w:t>
      </w:r>
      <w:proofErr w:type="spellEnd"/>
      <w:r w:rsidRPr="007D52DF">
        <w:rPr>
          <w:rFonts w:ascii="맑은 고딕" w:eastAsia="맑은 고딕" w:hAnsi="맑은 고딕" w:cs="Times New Roman" w:hint="eastAsia"/>
          <w:kern w:val="0"/>
          <w:sz w:val="24"/>
          <w:szCs w:val="24"/>
        </w:rPr>
        <w:t xml:space="preserve"> 제품에서 발생한 이상반응이 분석 결과 해당 원료의 사용 안전성과 관련이 없는 경우이다. 해당 원료를 사용한 </w:t>
      </w:r>
      <w:proofErr w:type="spellStart"/>
      <w:r w:rsidRPr="007D52DF">
        <w:rPr>
          <w:rFonts w:ascii="맑은 고딕" w:eastAsia="맑은 고딕" w:hAnsi="맑은 고딕" w:cs="Times New Roman" w:hint="eastAsia"/>
          <w:kern w:val="0"/>
          <w:sz w:val="24"/>
          <w:szCs w:val="24"/>
        </w:rPr>
        <w:t>기출시</w:t>
      </w:r>
      <w:proofErr w:type="spellEnd"/>
      <w:r w:rsidRPr="007D52DF">
        <w:rPr>
          <w:rFonts w:ascii="맑은 고딕" w:eastAsia="맑은 고딕" w:hAnsi="맑은 고딕" w:cs="Times New Roman" w:hint="eastAsia"/>
          <w:kern w:val="0"/>
          <w:sz w:val="24"/>
          <w:szCs w:val="24"/>
        </w:rPr>
        <w:t xml:space="preserve"> 화장품의 원료 사용 농도, 사용 부위, 사용 방법 등은 평가 대상 원료의 안전성 평가를 뒷받침할 수 있어야 하며, 필요한 경우 국소독성을 평가하여야 한다.</w:t>
      </w:r>
    </w:p>
    <w:p w14:paraId="28FDF3B2"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 xml:space="preserve">제품 허가 또는 등록 시 자사 또는 권한을 </w:t>
      </w:r>
      <w:proofErr w:type="spellStart"/>
      <w:r w:rsidRPr="007D52DF">
        <w:rPr>
          <w:rFonts w:ascii="맑은 고딕" w:eastAsia="맑은 고딕" w:hAnsi="맑은 고딕" w:cs="Times New Roman" w:hint="eastAsia"/>
          <w:kern w:val="0"/>
          <w:sz w:val="24"/>
          <w:szCs w:val="24"/>
        </w:rPr>
        <w:t>위임받은</w:t>
      </w:r>
      <w:proofErr w:type="spellEnd"/>
      <w:r w:rsidRPr="007D52DF">
        <w:rPr>
          <w:rFonts w:ascii="맑은 고딕" w:eastAsia="맑은 고딕" w:hAnsi="맑은 고딕" w:cs="Times New Roman" w:hint="eastAsia"/>
          <w:kern w:val="0"/>
          <w:sz w:val="24"/>
          <w:szCs w:val="24"/>
        </w:rPr>
        <w:t xml:space="preserve"> 타사의 동일 원료에 대한 3년 사용 이력 증빙자료를 제출하여야 한다. 그 내용은 다음과 같다. 1. 동일 원료임을 증명하는 자료: 구체적으로 원료 출처, 생산공정, 원료 조성, </w:t>
      </w:r>
      <w:r w:rsidRPr="007D52DF">
        <w:rPr>
          <w:rFonts w:ascii="맑은 고딕" w:eastAsia="맑은 고딕" w:hAnsi="맑은 고딕" w:cs="Times New Roman" w:hint="eastAsia"/>
          <w:kern w:val="0"/>
          <w:sz w:val="24"/>
          <w:szCs w:val="24"/>
        </w:rPr>
        <w:lastRenderedPageBreak/>
        <w:t xml:space="preserve">품질규격 등의 측면에서 분석할 수 있다. 2. 허가 제품은 제품 허가증, 허가 처방(신청 시 제출한 처방과 일치하여야 한다)을 제출하여야 한다. 등록 제품은 등록 증빙서류, 등록 처방을 제출하여야 하며, 등록 정보에 처방 정보가 포함되지 않은 등록 제품 및 해외 출시 제품은 원료 함량이 기재되어 있거나 원료 함량을 산출할 수 있는 생산 원료투입 기록 또는 원료 함량 정보를 포함할 수 있는 기타 증빙자료를 제출할 수 있다. 3. 이상반응 모니터링 현황 설명: 이상반응 사례를 수집한 경로와 방식 및 해당 원료를 사용한 화장품에서 이상반응이 발생하였는지에 대한 기록을 명시하고 이를 분석하여야 한다. 4. </w:t>
      </w:r>
      <w:proofErr w:type="spellStart"/>
      <w:r w:rsidRPr="007D52DF">
        <w:rPr>
          <w:rFonts w:ascii="맑은 고딕" w:eastAsia="맑은 고딕" w:hAnsi="맑은 고딕" w:cs="Times New Roman" w:hint="eastAsia"/>
          <w:kern w:val="0"/>
          <w:sz w:val="24"/>
          <w:szCs w:val="24"/>
        </w:rPr>
        <w:t>출시·판매</w:t>
      </w:r>
      <w:proofErr w:type="spellEnd"/>
      <w:r w:rsidRPr="007D52DF">
        <w:rPr>
          <w:rFonts w:ascii="맑은 고딕" w:eastAsia="맑은 고딕" w:hAnsi="맑은 고딕" w:cs="Times New Roman" w:hint="eastAsia"/>
          <w:kern w:val="0"/>
          <w:sz w:val="24"/>
          <w:szCs w:val="24"/>
        </w:rPr>
        <w:t xml:space="preserve"> 데이터 증빙: 관련 제품이 충분한 사용 수량을 확보하고 있음을 보장하여야 한다. 상기 요건에 부합하는 제품의 출시 기간은 3년 이상이어야 하며, 동일 제품이 3년 이상 연속 판매되었거나 여러 제품이 누적하여 3년 이상 연속 판매된 경우 모두 가능하다. 원칙적으로 최종 소매 화장품 판매 수량(즉 소비자의 실제 구매 수량)을 채택하는 경우 3년 누적 판매 수량은 10,000개 이상이어야 하며, 화장품 생산기업의 출하량, 출고량, 통관 기록, 유통업체 판매량 등 간접 판매 데이터를 채택하는 경우 3년 누적 판매 수량은 30,000개 이상이어야 한다. 5. 타사 출시 제품의 증빙자료를 사용하는 경우에는 원료 생산기업 또는 동일 원료를 사용하는 화장품 생산기업이 발급한 위임장을 추가로 제출하여야 한다. 6. 기타 관련 자료</w:t>
      </w:r>
    </w:p>
    <w:p w14:paraId="777BDCBF" w14:textId="77777777" w:rsidR="003E48F4" w:rsidRPr="004F7366" w:rsidRDefault="00000000" w:rsidP="003D32A0">
      <w:pPr>
        <w:spacing w:line="560" w:lineRule="exact"/>
        <w:ind w:firstLineChars="200" w:firstLine="480"/>
        <w:rPr>
          <w:rFonts w:ascii="맑은 고딕" w:eastAsiaTheme="minorEastAsia" w:hAnsi="맑은 고딕" w:cs="Times New Roman"/>
          <w:kern w:val="0"/>
          <w:sz w:val="24"/>
          <w:szCs w:val="24"/>
          <w:lang w:eastAsia="zh-CN"/>
        </w:rPr>
      </w:pPr>
      <w:r w:rsidRPr="007D52DF">
        <w:rPr>
          <w:rFonts w:ascii="맑은 고딕" w:eastAsia="맑은 고딕" w:hAnsi="맑은 고딕" w:cs="Times New Roman" w:hint="eastAsia"/>
          <w:kern w:val="0"/>
          <w:sz w:val="24"/>
          <w:szCs w:val="24"/>
        </w:rPr>
        <w:t>(6) 안전 식용 이력</w:t>
      </w:r>
    </w:p>
    <w:p w14:paraId="14246AAC"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 xml:space="preserve">안전 식용 이력이 있는 원료는 그 식용 이력, 생산공정 등에 대하여 전면적이고 충분한 연구를 실시하여 원료 또는 해당 원료를 제조하는 원재료가 안전하게 식용할 수 있는 특성을 지니고 있음을 확인하여야 한다. 생산공정이 </w:t>
      </w:r>
      <w:r w:rsidRPr="007D52DF">
        <w:rPr>
          <w:rFonts w:ascii="맑은 고딕" w:eastAsia="맑은 고딕" w:hAnsi="맑은 고딕" w:cs="Times New Roman" w:hint="eastAsia"/>
          <w:kern w:val="0"/>
          <w:sz w:val="24"/>
          <w:szCs w:val="24"/>
        </w:rPr>
        <w:lastRenderedPageBreak/>
        <w:t>식품 가공 과정에 가깝거나 생산 과정이 물리적 가공만을 포함하는 경우, 이러한 원료는 안전성 평가 시 전신독성 평가를 면제할 수 있으며, 제품의 사용 부위 및 사용 방법 등을 고려하여 국소독성에 대한 평가를 실시한다.</w:t>
      </w:r>
    </w:p>
    <w:p w14:paraId="68525159" w14:textId="3C0DDEF4" w:rsidR="003E48F4" w:rsidRPr="007D52DF" w:rsidRDefault="00000000" w:rsidP="003D32A0">
      <w:pPr>
        <w:spacing w:line="560" w:lineRule="exact"/>
        <w:ind w:firstLineChars="200" w:firstLine="480"/>
        <w:rPr>
          <w:rFonts w:ascii="맑은 고딕" w:eastAsia="맑은 고딕" w:hAnsi="맑은 고딕" w:cs="Times New Roman"/>
          <w:spacing w:val="-6"/>
          <w:kern w:val="0"/>
          <w:sz w:val="24"/>
          <w:szCs w:val="24"/>
        </w:rPr>
      </w:pPr>
      <w:r w:rsidRPr="007D52DF">
        <w:rPr>
          <w:rFonts w:ascii="맑은 고딕" w:eastAsia="맑은 고딕" w:hAnsi="맑은 고딕" w:cs="Times New Roman" w:hint="eastAsia"/>
          <w:kern w:val="0"/>
          <w:sz w:val="24"/>
          <w:szCs w:val="24"/>
        </w:rPr>
        <w:t>안전 식용 이력의 증빙자료</w:t>
      </w:r>
      <w:r w:rsidR="004F7366">
        <w:rPr>
          <w:rFonts w:asciiTheme="minorEastAsia" w:eastAsia="맑은 고딕" w:hAnsiTheme="minorEastAsia" w:cs="Times New Roman" w:hint="eastAsia"/>
          <w:kern w:val="0"/>
          <w:sz w:val="24"/>
          <w:szCs w:val="24"/>
        </w:rPr>
        <w:t>의</w:t>
      </w:r>
      <w:r w:rsidR="004F7366">
        <w:rPr>
          <w:rFonts w:asciiTheme="minorEastAsia" w:eastAsia="맑은 고딕" w:hAnsiTheme="minorEastAsia" w:cs="Times New Roman" w:hint="eastAsia"/>
          <w:kern w:val="0"/>
          <w:sz w:val="24"/>
          <w:szCs w:val="24"/>
        </w:rPr>
        <w:t xml:space="preserve"> </w:t>
      </w:r>
      <w:r w:rsidR="004F7366">
        <w:rPr>
          <w:rFonts w:asciiTheme="minorEastAsia" w:eastAsia="맑은 고딕" w:hAnsiTheme="minorEastAsia" w:cs="Times New Roman" w:hint="eastAsia"/>
          <w:kern w:val="0"/>
          <w:sz w:val="24"/>
          <w:szCs w:val="24"/>
        </w:rPr>
        <w:t>출처</w:t>
      </w:r>
      <w:r w:rsidRPr="007D52DF">
        <w:rPr>
          <w:rFonts w:ascii="맑은 고딕" w:eastAsia="맑은 고딕" w:hAnsi="맑은 고딕" w:cs="Times New Roman" w:hint="eastAsia"/>
          <w:kern w:val="0"/>
          <w:sz w:val="24"/>
          <w:szCs w:val="24"/>
        </w:rPr>
        <w:t xml:space="preserve">는 식품, 농업, 위생 등 관련 분야의 성급(성급 포함) 이상 감독관리 당국 또는 식품안전 위해평가 관련 기능을 갖춘 </w:t>
      </w:r>
      <w:proofErr w:type="spellStart"/>
      <w:r w:rsidRPr="007D52DF">
        <w:rPr>
          <w:rFonts w:ascii="맑은 고딕" w:eastAsia="맑은 고딕" w:hAnsi="맑은 고딕" w:cs="Times New Roman" w:hint="eastAsia"/>
          <w:kern w:val="0"/>
          <w:sz w:val="24"/>
          <w:szCs w:val="24"/>
        </w:rPr>
        <w:t>기술기관이어야</w:t>
      </w:r>
      <w:proofErr w:type="spellEnd"/>
      <w:r w:rsidRPr="007D52DF">
        <w:rPr>
          <w:rFonts w:ascii="맑은 고딕" w:eastAsia="맑은 고딕" w:hAnsi="맑은 고딕" w:cs="Times New Roman" w:hint="eastAsia"/>
          <w:kern w:val="0"/>
          <w:sz w:val="24"/>
          <w:szCs w:val="24"/>
        </w:rPr>
        <w:t xml:space="preserve"> 하며, 공개적으로 발표된 데이터 정보로서 관련 당국이 발표한 공고, 통지, 기술표준 등과 같이 일정한 권위성을 갖추어야 한다. 해외 감독관리 당국은 </w:t>
      </w:r>
      <w:proofErr w:type="spellStart"/>
      <w:r w:rsidRPr="007D52DF">
        <w:rPr>
          <w:rFonts w:ascii="맑은 고딕" w:eastAsia="맑은 고딕" w:hAnsi="맑은 고딕" w:cs="Times New Roman" w:hint="eastAsia"/>
          <w:kern w:val="0"/>
          <w:sz w:val="24"/>
          <w:szCs w:val="24"/>
        </w:rPr>
        <w:t>국가급이어야</w:t>
      </w:r>
      <w:proofErr w:type="spellEnd"/>
      <w:r w:rsidRPr="007D52DF">
        <w:rPr>
          <w:rFonts w:ascii="맑은 고딕" w:eastAsia="맑은 고딕" w:hAnsi="맑은 고딕" w:cs="Times New Roman" w:hint="eastAsia"/>
          <w:kern w:val="0"/>
          <w:sz w:val="24"/>
          <w:szCs w:val="24"/>
        </w:rPr>
        <w:t xml:space="preserve"> 하며, 기술기관은 국제적으로 공인된 권위 있는 기관 또는 조직이어야 한다. 일반적인 증빙자료의 출처로는 중국 관련 감독관리 당국이 발표한 안전하게 식용할 수 있는 원료, 예를 들어 곡물, </w:t>
      </w:r>
      <w:proofErr w:type="spellStart"/>
      <w:r w:rsidRPr="007D52DF">
        <w:rPr>
          <w:rFonts w:ascii="맑은 고딕" w:eastAsia="맑은 고딕" w:hAnsi="맑은 고딕" w:cs="Times New Roman" w:hint="eastAsia"/>
          <w:kern w:val="0"/>
          <w:sz w:val="24"/>
          <w:szCs w:val="24"/>
        </w:rPr>
        <w:t>과일·채소</w:t>
      </w:r>
      <w:proofErr w:type="spellEnd"/>
      <w:r w:rsidRPr="007D52DF">
        <w:rPr>
          <w:rFonts w:ascii="맑은 고딕" w:eastAsia="맑은 고딕" w:hAnsi="맑은 고딕" w:cs="Times New Roman" w:hint="eastAsia"/>
          <w:kern w:val="0"/>
          <w:sz w:val="24"/>
          <w:szCs w:val="24"/>
        </w:rPr>
        <w:t xml:space="preserve">, 육류 등 </w:t>
      </w:r>
      <w:r w:rsidR="004F7366">
        <w:rPr>
          <w:rFonts w:ascii="맑은 고딕" w:eastAsia="맑은 고딕" w:hAnsi="맑은 고딕" w:cs="Times New Roman" w:hint="eastAsia"/>
          <w:kern w:val="0"/>
          <w:sz w:val="24"/>
          <w:szCs w:val="24"/>
        </w:rPr>
        <w:t>흔히 섭취하는</w:t>
      </w:r>
      <w:r w:rsidRPr="007D52DF">
        <w:rPr>
          <w:rFonts w:ascii="맑은 고딕" w:eastAsia="맑은 고딕" w:hAnsi="맑은 고딕" w:cs="Times New Roman" w:hint="eastAsia"/>
          <w:kern w:val="0"/>
          <w:sz w:val="24"/>
          <w:szCs w:val="24"/>
        </w:rPr>
        <w:t xml:space="preserve"> 식품 원료, 일반 식품원료, 신식품원료, 약식동원 물질, 보건식품 원료 목록, 지방 특색 식품원료 등과 해외 감독관리 당국 또는 기술기관이 발표한 안전하게 식용할 수 있는 원료 등이 있다.</w:t>
      </w:r>
    </w:p>
    <w:p w14:paraId="4874F156"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 xml:space="preserve">(7) 구조 및 성질이 안정적인 고분자 </w:t>
      </w:r>
      <w:proofErr w:type="spellStart"/>
      <w:r w:rsidRPr="007D52DF">
        <w:rPr>
          <w:rFonts w:ascii="맑은 고딕" w:eastAsia="맑은 고딕" w:hAnsi="맑은 고딕" w:cs="Times New Roman" w:hint="eastAsia"/>
          <w:kern w:val="0"/>
          <w:sz w:val="24"/>
          <w:szCs w:val="24"/>
        </w:rPr>
        <w:t>중합체</w:t>
      </w:r>
      <w:proofErr w:type="spellEnd"/>
      <w:r w:rsidRPr="007D52DF">
        <w:rPr>
          <w:rFonts w:ascii="맑은 고딕" w:eastAsia="맑은 고딕" w:hAnsi="맑은 고딕" w:cs="Times New Roman" w:hint="eastAsia"/>
          <w:kern w:val="0"/>
          <w:sz w:val="24"/>
          <w:szCs w:val="24"/>
        </w:rPr>
        <w:t>(생물학적 활성이 높은 원료는 제외)</w:t>
      </w:r>
    </w:p>
    <w:p w14:paraId="29FBF2DF"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 xml:space="preserve">화학적으로 합성되어 하나 또는 둘 이상의 구조단위가 공유결합으로 연결되고, 평균 </w:t>
      </w:r>
      <w:proofErr w:type="spellStart"/>
      <w:r w:rsidRPr="007D52DF">
        <w:rPr>
          <w:rFonts w:ascii="맑은 고딕" w:eastAsia="맑은 고딕" w:hAnsi="맑은 고딕" w:cs="Times New Roman" w:hint="eastAsia"/>
          <w:kern w:val="0"/>
          <w:sz w:val="24"/>
          <w:szCs w:val="24"/>
        </w:rPr>
        <w:t>상대분자량</w:t>
      </w:r>
      <w:proofErr w:type="spellEnd"/>
      <w:r w:rsidRPr="007D52DF">
        <w:rPr>
          <w:rFonts w:ascii="맑은 고딕" w:eastAsia="맑은 고딕" w:hAnsi="맑은 고딕" w:cs="Times New Roman" w:hint="eastAsia"/>
          <w:kern w:val="0"/>
          <w:sz w:val="24"/>
          <w:szCs w:val="24"/>
        </w:rPr>
        <w:t>(</w:t>
      </w:r>
      <w:proofErr w:type="spellStart"/>
      <w:r w:rsidRPr="007D52DF">
        <w:rPr>
          <w:rFonts w:ascii="맑은 고딕" w:eastAsia="맑은 고딕" w:hAnsi="맑은 고딕" w:cs="Times New Roman" w:hint="eastAsia"/>
          <w:kern w:val="0"/>
          <w:sz w:val="24"/>
          <w:szCs w:val="24"/>
        </w:rPr>
        <w:t>수평균</w:t>
      </w:r>
      <w:proofErr w:type="spellEnd"/>
      <w:r w:rsidRPr="007D52DF">
        <w:rPr>
          <w:rFonts w:ascii="맑은 고딕" w:eastAsia="맑은 고딕" w:hAnsi="맑은 고딕" w:cs="Times New Roman" w:hint="eastAsia"/>
          <w:kern w:val="0"/>
          <w:sz w:val="24"/>
          <w:szCs w:val="24"/>
        </w:rPr>
        <w:t xml:space="preserve"> 기준, 이하 같다)이 1,000달톤을 초과하며, </w:t>
      </w:r>
      <w:proofErr w:type="spellStart"/>
      <w:r w:rsidRPr="007D52DF">
        <w:rPr>
          <w:rFonts w:ascii="맑은 고딕" w:eastAsia="맑은 고딕" w:hAnsi="맑은 고딕" w:cs="Times New Roman" w:hint="eastAsia"/>
          <w:kern w:val="0"/>
          <w:sz w:val="24"/>
          <w:szCs w:val="24"/>
        </w:rPr>
        <w:t>상대분자량이</w:t>
      </w:r>
      <w:proofErr w:type="spellEnd"/>
      <w:r w:rsidRPr="007D52DF">
        <w:rPr>
          <w:rFonts w:ascii="맑은 고딕" w:eastAsia="맑은 고딕" w:hAnsi="맑은 고딕" w:cs="Times New Roman" w:hint="eastAsia"/>
          <w:kern w:val="0"/>
          <w:sz w:val="24"/>
          <w:szCs w:val="24"/>
        </w:rPr>
        <w:t xml:space="preserve"> 1,000달톤 미만인 올리고머 함량이 10% 미만이고, 구조 및 성질이 안정적인 </w:t>
      </w:r>
      <w:proofErr w:type="spellStart"/>
      <w:r w:rsidRPr="007D52DF">
        <w:rPr>
          <w:rFonts w:ascii="맑은 고딕" w:eastAsia="맑은 고딕" w:hAnsi="맑은 고딕" w:cs="Times New Roman" w:hint="eastAsia"/>
          <w:kern w:val="0"/>
          <w:sz w:val="24"/>
          <w:szCs w:val="24"/>
        </w:rPr>
        <w:t>중합체</w:t>
      </w:r>
      <w:proofErr w:type="spellEnd"/>
      <w:r w:rsidRPr="007D52DF">
        <w:rPr>
          <w:rFonts w:ascii="맑은 고딕" w:eastAsia="맑은 고딕" w:hAnsi="맑은 고딕" w:cs="Times New Roman" w:hint="eastAsia"/>
          <w:kern w:val="0"/>
          <w:sz w:val="24"/>
          <w:szCs w:val="24"/>
        </w:rPr>
        <w:t xml:space="preserve">(생물학적 활성이 높은 원료는 제외)는 안전성 평가 시 </w:t>
      </w:r>
      <w:proofErr w:type="spellStart"/>
      <w:r w:rsidRPr="007D52DF">
        <w:rPr>
          <w:rFonts w:ascii="맑은 고딕" w:eastAsia="맑은 고딕" w:hAnsi="맑은 고딕" w:cs="Times New Roman" w:hint="eastAsia"/>
          <w:kern w:val="0"/>
          <w:sz w:val="24"/>
          <w:szCs w:val="24"/>
        </w:rPr>
        <w:t>경피흡수를</w:t>
      </w:r>
      <w:proofErr w:type="spellEnd"/>
      <w:r w:rsidRPr="007D52DF">
        <w:rPr>
          <w:rFonts w:ascii="맑은 고딕" w:eastAsia="맑은 고딕" w:hAnsi="맑은 고딕" w:cs="Times New Roman" w:hint="eastAsia"/>
          <w:kern w:val="0"/>
          <w:sz w:val="24"/>
          <w:szCs w:val="24"/>
        </w:rPr>
        <w:t xml:space="preserve"> 고려하지 않을 수 있으며, 제품의 사용 부위 및 사용 방법 등을 고려하여 국소독성에 대한 평가를 실시한다.</w:t>
      </w:r>
    </w:p>
    <w:p w14:paraId="0D5E7E3B"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 xml:space="preserve">화장품 </w:t>
      </w:r>
      <w:proofErr w:type="spellStart"/>
      <w:r w:rsidRPr="007D52DF">
        <w:rPr>
          <w:rFonts w:ascii="맑은 고딕" w:eastAsia="맑은 고딕" w:hAnsi="맑은 고딕" w:cs="Times New Roman" w:hint="eastAsia"/>
          <w:kern w:val="0"/>
          <w:sz w:val="24"/>
          <w:szCs w:val="24"/>
        </w:rPr>
        <w:t>허가인·등록인은</w:t>
      </w:r>
      <w:proofErr w:type="spellEnd"/>
      <w:r w:rsidRPr="007D52DF">
        <w:rPr>
          <w:rFonts w:ascii="맑은 고딕" w:eastAsia="맑은 고딕" w:hAnsi="맑은 고딕" w:cs="Times New Roman" w:hint="eastAsia"/>
          <w:kern w:val="0"/>
          <w:sz w:val="24"/>
          <w:szCs w:val="24"/>
        </w:rPr>
        <w:t xml:space="preserve"> 구조단위, 평균 </w:t>
      </w:r>
      <w:proofErr w:type="spellStart"/>
      <w:r w:rsidRPr="007D52DF">
        <w:rPr>
          <w:rFonts w:ascii="맑은 고딕" w:eastAsia="맑은 고딕" w:hAnsi="맑은 고딕" w:cs="Times New Roman" w:hint="eastAsia"/>
          <w:kern w:val="0"/>
          <w:sz w:val="24"/>
          <w:szCs w:val="24"/>
        </w:rPr>
        <w:t>상대분자량</w:t>
      </w:r>
      <w:proofErr w:type="spellEnd"/>
      <w:r w:rsidRPr="007D52DF">
        <w:rPr>
          <w:rFonts w:ascii="맑은 고딕" w:eastAsia="맑은 고딕" w:hAnsi="맑은 고딕" w:cs="Times New Roman" w:hint="eastAsia"/>
          <w:kern w:val="0"/>
          <w:sz w:val="24"/>
          <w:szCs w:val="24"/>
        </w:rPr>
        <w:t xml:space="preserve">, </w:t>
      </w:r>
      <w:proofErr w:type="spellStart"/>
      <w:r w:rsidRPr="007D52DF">
        <w:rPr>
          <w:rFonts w:ascii="맑은 고딕" w:eastAsia="맑은 고딕" w:hAnsi="맑은 고딕" w:cs="Times New Roman" w:hint="eastAsia"/>
          <w:kern w:val="0"/>
          <w:sz w:val="24"/>
          <w:szCs w:val="24"/>
        </w:rPr>
        <w:t>상대분자량이</w:t>
      </w:r>
      <w:proofErr w:type="spellEnd"/>
      <w:r w:rsidRPr="007D52DF">
        <w:rPr>
          <w:rFonts w:ascii="맑은 고딕" w:eastAsia="맑은 고딕" w:hAnsi="맑은 고딕" w:cs="Times New Roman" w:hint="eastAsia"/>
          <w:kern w:val="0"/>
          <w:sz w:val="24"/>
          <w:szCs w:val="24"/>
        </w:rPr>
        <w:t xml:space="preserve"> </w:t>
      </w:r>
      <w:r w:rsidRPr="007D52DF">
        <w:rPr>
          <w:rFonts w:ascii="맑은 고딕" w:eastAsia="맑은 고딕" w:hAnsi="맑은 고딕" w:cs="Times New Roman" w:hint="eastAsia"/>
          <w:kern w:val="0"/>
          <w:sz w:val="24"/>
          <w:szCs w:val="24"/>
        </w:rPr>
        <w:lastRenderedPageBreak/>
        <w:t>1,000달톤 미만인 올리고머 함량 등을 포함한 관련 증빙자료를 제출하여야 하며, 현재의 과학적 인식 수준에서 해당 원료가 생물학적 활성을 갖지 않는다는 설명도 함께 제출하여야 한다.</w:t>
      </w:r>
    </w:p>
    <w:p w14:paraId="64CACBC6" w14:textId="77777777" w:rsidR="003E48F4" w:rsidRPr="004F7366" w:rsidRDefault="00000000" w:rsidP="003D32A0">
      <w:pPr>
        <w:pStyle w:val="1"/>
        <w:spacing w:before="0" w:after="0" w:line="560" w:lineRule="exact"/>
        <w:rPr>
          <w:rFonts w:ascii="맑은 고딕" w:eastAsiaTheme="minorEastAsia" w:hAnsi="맑은 고딕" w:cs="Times New Roman"/>
          <w:b w:val="0"/>
          <w:bCs w:val="0"/>
          <w:sz w:val="24"/>
          <w:szCs w:val="24"/>
          <w:lang w:eastAsia="zh-CN"/>
        </w:rPr>
      </w:pPr>
      <w:bookmarkStart w:id="3" w:name="_Toc237422424"/>
      <w:bookmarkStart w:id="4" w:name="_Toc165286634"/>
      <w:r w:rsidRPr="007D52DF">
        <w:rPr>
          <w:rFonts w:ascii="맑은 고딕" w:eastAsia="맑은 고딕" w:hAnsi="맑은 고딕" w:cs="Times New Roman" w:hint="eastAsia"/>
          <w:b w:val="0"/>
          <w:bCs w:val="0"/>
          <w:sz w:val="24"/>
          <w:szCs w:val="24"/>
        </w:rPr>
        <w:t>3. 기타</w:t>
      </w:r>
      <w:bookmarkEnd w:id="3"/>
      <w:bookmarkEnd w:id="4"/>
    </w:p>
    <w:p w14:paraId="5F601E24"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proofErr w:type="spellStart"/>
      <w:r w:rsidRPr="007D52DF">
        <w:rPr>
          <w:rFonts w:ascii="맑은 고딕" w:eastAsia="맑은 고딕" w:hAnsi="맑은 고딕" w:cs="Times New Roman" w:hint="eastAsia"/>
          <w:kern w:val="0"/>
          <w:sz w:val="24"/>
          <w:szCs w:val="24"/>
        </w:rPr>
        <w:t>기미제거·미백제</w:t>
      </w:r>
      <w:proofErr w:type="spellEnd"/>
      <w:r w:rsidRPr="007D52DF">
        <w:rPr>
          <w:rFonts w:ascii="맑은 고딕" w:eastAsia="맑은 고딕" w:hAnsi="맑은 고딕" w:cs="Times New Roman" w:hint="eastAsia"/>
          <w:kern w:val="0"/>
          <w:sz w:val="24"/>
          <w:szCs w:val="24"/>
        </w:rPr>
        <w:t xml:space="preserve"> 및 탈모방지제로 사용되는 원료는 국제 화장품 안전성 평가기관이 공표한 평가 결론, 세계보건기구(WHO) 등 권위 있는 기관이 이미 공표한 안전 한도 또는 결론, 원료의 3년 안전 사용 이력 및 안전 식용 이력을 평가 근거로 사용할 수 있다.</w:t>
      </w:r>
    </w:p>
    <w:p w14:paraId="78F02802" w14:textId="77777777" w:rsidR="003E48F4" w:rsidRPr="007D52DF" w:rsidRDefault="00000000" w:rsidP="003D32A0">
      <w:pPr>
        <w:spacing w:line="560" w:lineRule="exact"/>
        <w:ind w:firstLineChars="200" w:firstLine="480"/>
        <w:rPr>
          <w:rFonts w:ascii="맑은 고딕" w:eastAsia="맑은 고딕" w:hAnsi="맑은 고딕" w:cs="Times New Roman"/>
          <w:kern w:val="0"/>
          <w:sz w:val="24"/>
          <w:szCs w:val="24"/>
        </w:rPr>
      </w:pPr>
      <w:r w:rsidRPr="007D52DF">
        <w:rPr>
          <w:rFonts w:ascii="맑은 고딕" w:eastAsia="맑은 고딕" w:hAnsi="맑은 고딕" w:cs="Times New Roman" w:hint="eastAsia"/>
          <w:kern w:val="0"/>
          <w:sz w:val="24"/>
          <w:szCs w:val="24"/>
        </w:rPr>
        <w:t xml:space="preserve">원료의 3년 안전 사용 이력, 안전 식용 이력을 </w:t>
      </w:r>
      <w:proofErr w:type="spellStart"/>
      <w:r w:rsidRPr="007D52DF">
        <w:rPr>
          <w:rFonts w:ascii="맑은 고딕" w:eastAsia="맑은 고딕" w:hAnsi="맑은 고딕" w:cs="Times New Roman" w:hint="eastAsia"/>
          <w:kern w:val="0"/>
          <w:sz w:val="24"/>
          <w:szCs w:val="24"/>
        </w:rPr>
        <w:t>기미제거·미백제의</w:t>
      </w:r>
      <w:proofErr w:type="spellEnd"/>
      <w:r w:rsidRPr="007D52DF">
        <w:rPr>
          <w:rFonts w:ascii="맑은 고딕" w:eastAsia="맑은 고딕" w:hAnsi="맑은 고딕" w:cs="Times New Roman" w:hint="eastAsia"/>
          <w:kern w:val="0"/>
          <w:sz w:val="24"/>
          <w:szCs w:val="24"/>
        </w:rPr>
        <w:t xml:space="preserve"> 평가 근거로 채택하는 경우에는 원료의 이화학적 특성, 미백 작용기전 등에 근거하여 관련 안전 위험이 존재하는지를 충분히 분석하여야 하며, 인체 피부에 장기간 작용할 경우의 안전 위험을 배제할 수 없는 경우에는 인체 장기 사용시험 관련 자료를 보완하여야 한다.</w:t>
      </w:r>
    </w:p>
    <w:p w14:paraId="01F4D2DC" w14:textId="77777777" w:rsidR="003E48F4" w:rsidRPr="004F7366" w:rsidRDefault="00000000" w:rsidP="003D32A0">
      <w:pPr>
        <w:widowControl/>
        <w:rPr>
          <w:rFonts w:ascii="맑은 고딕" w:eastAsiaTheme="minorEastAsia" w:hAnsi="맑은 고딕" w:cs="Times New Roman" w:hint="eastAsia"/>
          <w:kern w:val="0"/>
          <w:sz w:val="24"/>
          <w:szCs w:val="24"/>
          <w:lang w:eastAsia="zh-CN"/>
        </w:rPr>
      </w:pPr>
      <w:r w:rsidRPr="007D52DF">
        <w:rPr>
          <w:rFonts w:ascii="맑은 고딕" w:eastAsia="맑은 고딕" w:hAnsi="맑은 고딕" w:cs="Times New Roman"/>
          <w:kern w:val="0"/>
          <w:sz w:val="24"/>
          <w:szCs w:val="24"/>
        </w:rPr>
        <w:br w:type="page"/>
      </w:r>
    </w:p>
    <w:p w14:paraId="294D4B06" w14:textId="3E2A5E80" w:rsidR="003E48F4" w:rsidRPr="007D52DF" w:rsidRDefault="00000000" w:rsidP="004F7366">
      <w:pPr>
        <w:spacing w:line="660" w:lineRule="exact"/>
        <w:jc w:val="center"/>
        <w:rPr>
          <w:rFonts w:ascii="맑은 고딕" w:eastAsia="맑은 고딕" w:hAnsi="맑은 고딕" w:cs="맑은 고딕"/>
          <w:sz w:val="24"/>
          <w:szCs w:val="24"/>
        </w:rPr>
      </w:pPr>
      <w:r w:rsidRPr="007D52DF">
        <w:rPr>
          <w:rFonts w:ascii="맑은 고딕" w:eastAsia="맑은 고딕" w:hAnsi="맑은 고딕" w:cs="맑은 고딕" w:hint="eastAsia"/>
          <w:sz w:val="24"/>
          <w:szCs w:val="24"/>
        </w:rPr>
        <w:lastRenderedPageBreak/>
        <w:t xml:space="preserve">「화장품 원료 데이터 사용 </w:t>
      </w:r>
      <w:r w:rsidR="003D32A0" w:rsidRPr="007D52DF">
        <w:rPr>
          <w:rFonts w:ascii="맑은 고딕" w:eastAsia="맑은 고딕" w:hAnsi="맑은 고딕" w:cs="맑은 고딕" w:hint="eastAsia"/>
          <w:sz w:val="24"/>
          <w:szCs w:val="24"/>
        </w:rPr>
        <w:t>지침</w:t>
      </w:r>
      <w:r w:rsidRPr="007D52DF">
        <w:rPr>
          <w:rFonts w:ascii="맑은 고딕" w:eastAsia="맑은 고딕" w:hAnsi="맑은 고딕" w:cs="맑은 고딕" w:hint="eastAsia"/>
          <w:sz w:val="24"/>
          <w:szCs w:val="24"/>
        </w:rPr>
        <w:t>(의견</w:t>
      </w:r>
      <w:r w:rsidR="004F7366">
        <w:rPr>
          <w:rFonts w:ascii="맑은 고딕" w:eastAsia="맑은 고딕" w:hAnsi="맑은 고딕" w:cs="맑은 고딕" w:hint="eastAsia"/>
          <w:sz w:val="24"/>
          <w:szCs w:val="24"/>
        </w:rPr>
        <w:t>수렴</w:t>
      </w:r>
      <w:r w:rsidRPr="007D52DF">
        <w:rPr>
          <w:rFonts w:ascii="맑은 고딕" w:eastAsia="맑은 고딕" w:hAnsi="맑은 고딕" w:cs="맑은 고딕" w:hint="eastAsia"/>
          <w:sz w:val="24"/>
          <w:szCs w:val="24"/>
        </w:rPr>
        <w:t>안)」 개정 설명</w:t>
      </w:r>
    </w:p>
    <w:p w14:paraId="1543EED6" w14:textId="62238A27" w:rsidR="003E48F4" w:rsidRPr="007D52DF" w:rsidRDefault="00000000" w:rsidP="003D32A0">
      <w:pPr>
        <w:spacing w:line="580" w:lineRule="exact"/>
        <w:ind w:firstLineChars="200" w:firstLine="480"/>
        <w:rPr>
          <w:rFonts w:ascii="맑은 고딕" w:eastAsia="맑은 고딕" w:hAnsi="맑은 고딕" w:cs="Times New Roman"/>
          <w:sz w:val="24"/>
          <w:szCs w:val="24"/>
        </w:rPr>
      </w:pPr>
      <w:r w:rsidRPr="007D52DF">
        <w:rPr>
          <w:rFonts w:ascii="맑은 고딕" w:eastAsia="맑은 고딕" w:hAnsi="맑은 고딕" w:cs="Times New Roman"/>
          <w:sz w:val="24"/>
          <w:szCs w:val="24"/>
        </w:rPr>
        <w:t>2024년 4월, 중국약품검정연구원(이하 '</w:t>
      </w:r>
      <w:proofErr w:type="spellStart"/>
      <w:r w:rsidRPr="007D52DF">
        <w:rPr>
          <w:rFonts w:ascii="맑은 고딕" w:eastAsia="맑은 고딕" w:hAnsi="맑은 고딕" w:cs="Times New Roman"/>
          <w:sz w:val="24"/>
          <w:szCs w:val="24"/>
        </w:rPr>
        <w:t>중검원</w:t>
      </w:r>
      <w:proofErr w:type="spellEnd"/>
      <w:r w:rsidRPr="007D52DF">
        <w:rPr>
          <w:rFonts w:ascii="맑은 고딕" w:eastAsia="맑은 고딕" w:hAnsi="맑은 고딕" w:cs="Times New Roman"/>
          <w:sz w:val="24"/>
          <w:szCs w:val="24"/>
        </w:rPr>
        <w:t xml:space="preserve">'이라 한다)은 「화장품 원료 데이터 사용 </w:t>
      </w:r>
      <w:r w:rsidR="003D32A0" w:rsidRPr="007D52DF">
        <w:rPr>
          <w:rFonts w:ascii="맑은 고딕" w:eastAsia="맑은 고딕" w:hAnsi="맑은 고딕" w:cs="Times New Roman"/>
          <w:sz w:val="24"/>
          <w:szCs w:val="24"/>
        </w:rPr>
        <w:t>지침</w:t>
      </w:r>
      <w:r w:rsidRPr="007D52DF">
        <w:rPr>
          <w:rFonts w:ascii="맑은 고딕" w:eastAsia="맑은 고딕" w:hAnsi="맑은 고딕" w:cs="Times New Roman"/>
          <w:sz w:val="24"/>
          <w:szCs w:val="24"/>
        </w:rPr>
        <w:t xml:space="preserve">」(이하 「데이터 사용 </w:t>
      </w:r>
      <w:proofErr w:type="spellStart"/>
      <w:r w:rsidR="003D32A0" w:rsidRPr="007D52DF">
        <w:rPr>
          <w:rFonts w:ascii="맑은 고딕" w:eastAsia="맑은 고딕" w:hAnsi="맑은 고딕" w:cs="Times New Roman"/>
          <w:sz w:val="24"/>
          <w:szCs w:val="24"/>
        </w:rPr>
        <w:t>지침</w:t>
      </w:r>
      <w:r w:rsidRPr="007D52DF">
        <w:rPr>
          <w:rFonts w:ascii="맑은 고딕" w:eastAsia="맑은 고딕" w:hAnsi="맑은 고딕" w:cs="Times New Roman"/>
          <w:sz w:val="24"/>
          <w:szCs w:val="24"/>
        </w:rPr>
        <w:t>」이라</w:t>
      </w:r>
      <w:proofErr w:type="spellEnd"/>
      <w:r w:rsidRPr="007D52DF">
        <w:rPr>
          <w:rFonts w:ascii="맑은 고딕" w:eastAsia="맑은 고딕" w:hAnsi="맑은 고딕" w:cs="Times New Roman"/>
          <w:sz w:val="24"/>
          <w:szCs w:val="24"/>
        </w:rPr>
        <w:t xml:space="preserve"> 한다)을 발표하여 화장품 안전성 평가에서의 원료 데이터 사용을 규범화하고 지도하였다. 화장품 안전성 평가 기술체계를 한층 더 보완하고 산업의 고품질 발전을 촉진하기 위하여 </w:t>
      </w:r>
      <w:proofErr w:type="spellStart"/>
      <w:r w:rsidRPr="007D52DF">
        <w:rPr>
          <w:rFonts w:ascii="맑은 고딕" w:eastAsia="맑은 고딕" w:hAnsi="맑은 고딕" w:cs="Times New Roman"/>
          <w:sz w:val="24"/>
          <w:szCs w:val="24"/>
        </w:rPr>
        <w:t>중검원은</w:t>
      </w:r>
      <w:proofErr w:type="spellEnd"/>
      <w:r w:rsidRPr="007D52DF">
        <w:rPr>
          <w:rFonts w:ascii="맑은 고딕" w:eastAsia="맑은 고딕" w:hAnsi="맑은 고딕" w:cs="Times New Roman"/>
          <w:sz w:val="24"/>
          <w:szCs w:val="24"/>
        </w:rPr>
        <w:t xml:space="preserve"> 해당 문서의 개정 작업을 추진하였으며, 관련 사항을 다음과 같이 설명한다.</w:t>
      </w:r>
    </w:p>
    <w:p w14:paraId="6A2E506C" w14:textId="77777777" w:rsidR="003E48F4" w:rsidRPr="007D52DF" w:rsidRDefault="00000000" w:rsidP="003D32A0">
      <w:pPr>
        <w:spacing w:line="580" w:lineRule="exact"/>
        <w:ind w:firstLineChars="200" w:firstLine="480"/>
        <w:rPr>
          <w:rFonts w:ascii="맑은 고딕" w:eastAsia="맑은 고딕" w:hAnsi="맑은 고딕" w:cs="Times New Roman"/>
          <w:sz w:val="24"/>
          <w:szCs w:val="24"/>
        </w:rPr>
      </w:pPr>
      <w:r w:rsidRPr="007D52DF">
        <w:rPr>
          <w:rFonts w:ascii="맑은 고딕" w:eastAsia="맑은 고딕" w:hAnsi="맑은 고딕" w:cs="Times New Roman"/>
          <w:sz w:val="24"/>
          <w:szCs w:val="24"/>
        </w:rPr>
        <w:t>1. 필요성</w:t>
      </w:r>
    </w:p>
    <w:p w14:paraId="0DD0206B" w14:textId="1DE091C8" w:rsidR="003E48F4" w:rsidRPr="007D52DF" w:rsidRDefault="00000000" w:rsidP="003D32A0">
      <w:pPr>
        <w:spacing w:line="580" w:lineRule="exact"/>
        <w:ind w:firstLineChars="200" w:firstLine="480"/>
        <w:rPr>
          <w:rFonts w:ascii="맑은 고딕" w:eastAsia="맑은 고딕" w:hAnsi="맑은 고딕" w:cs="Times New Roman"/>
          <w:sz w:val="24"/>
          <w:szCs w:val="24"/>
        </w:rPr>
      </w:pPr>
      <w:r w:rsidRPr="007D52DF">
        <w:rPr>
          <w:rFonts w:ascii="맑은 고딕" w:eastAsia="맑은 고딕" w:hAnsi="맑은 고딕" w:cs="Times New Roman"/>
          <w:sz w:val="24"/>
          <w:szCs w:val="24"/>
        </w:rPr>
        <w:t xml:space="preserve">화장품 안전성 평가 제도가 심도 있게 추진됨에 따라 업계가 </w:t>
      </w:r>
      <w:proofErr w:type="spellStart"/>
      <w:r w:rsidRPr="007D52DF">
        <w:rPr>
          <w:rFonts w:ascii="맑은 고딕" w:eastAsia="맑은 고딕" w:hAnsi="맑은 고딕" w:cs="Times New Roman"/>
          <w:sz w:val="24"/>
          <w:szCs w:val="24"/>
        </w:rPr>
        <w:t>완전판</w:t>
      </w:r>
      <w:proofErr w:type="spellEnd"/>
      <w:r w:rsidRPr="007D52DF">
        <w:rPr>
          <w:rFonts w:ascii="맑은 고딕" w:eastAsia="맑은 고딕" w:hAnsi="맑은 고딕" w:cs="Times New Roman"/>
          <w:sz w:val="24"/>
          <w:szCs w:val="24"/>
        </w:rPr>
        <w:t xml:space="preserve"> 안전성 평가를 이행하는 과정에서 「데이터 사용 </w:t>
      </w:r>
      <w:proofErr w:type="spellStart"/>
      <w:r w:rsidR="003D32A0" w:rsidRPr="007D52DF">
        <w:rPr>
          <w:rFonts w:ascii="맑은 고딕" w:eastAsia="맑은 고딕" w:hAnsi="맑은 고딕" w:cs="Times New Roman"/>
          <w:sz w:val="24"/>
          <w:szCs w:val="24"/>
        </w:rPr>
        <w:t>지침</w:t>
      </w:r>
      <w:r w:rsidRPr="007D52DF">
        <w:rPr>
          <w:rFonts w:ascii="맑은 고딕" w:eastAsia="맑은 고딕" w:hAnsi="맑은 고딕" w:cs="Times New Roman"/>
          <w:sz w:val="24"/>
          <w:szCs w:val="24"/>
        </w:rPr>
        <w:t>」의</w:t>
      </w:r>
      <w:proofErr w:type="spellEnd"/>
      <w:r w:rsidRPr="007D52DF">
        <w:rPr>
          <w:rFonts w:ascii="맑은 고딕" w:eastAsia="맑은 고딕" w:hAnsi="맑은 고딕" w:cs="Times New Roman"/>
          <w:sz w:val="24"/>
          <w:szCs w:val="24"/>
        </w:rPr>
        <w:t xml:space="preserve"> 일부 내용이 더 이상 업계의 수요를 충족하지 못하게 되었다. 「화장품 감독관리 개혁 심화 및 산업 고품질 발전 촉진에 관한 국가약품감독관리국 의견」(</w:t>
      </w:r>
      <w:proofErr w:type="spellStart"/>
      <w:r w:rsidRPr="007D52DF">
        <w:rPr>
          <w:rFonts w:ascii="맑은 고딕" w:eastAsia="맑은 고딕" w:hAnsi="맑은 고딕" w:cs="Times New Roman"/>
          <w:sz w:val="24"/>
          <w:szCs w:val="24"/>
        </w:rPr>
        <w:t>국약감장</w:t>
      </w:r>
      <w:proofErr w:type="spellEnd"/>
      <w:r w:rsidRPr="007D52DF">
        <w:rPr>
          <w:rFonts w:ascii="맑은 고딕" w:eastAsia="맑은 고딕" w:hAnsi="맑은 고딕" w:cs="Times New Roman"/>
          <w:sz w:val="24"/>
          <w:szCs w:val="24"/>
        </w:rPr>
        <w:t xml:space="preserve">〔2025〕18호)을 관철·이행하고 산업의 고품질 발전을 촉진하기 위하여 「데이터 사용 </w:t>
      </w:r>
      <w:proofErr w:type="spellStart"/>
      <w:r w:rsidR="003D32A0" w:rsidRPr="007D52DF">
        <w:rPr>
          <w:rFonts w:ascii="맑은 고딕" w:eastAsia="맑은 고딕" w:hAnsi="맑은 고딕" w:cs="Times New Roman"/>
          <w:sz w:val="24"/>
          <w:szCs w:val="24"/>
        </w:rPr>
        <w:t>지침</w:t>
      </w:r>
      <w:r w:rsidRPr="007D52DF">
        <w:rPr>
          <w:rFonts w:ascii="맑은 고딕" w:eastAsia="맑은 고딕" w:hAnsi="맑은 고딕" w:cs="Times New Roman"/>
          <w:sz w:val="24"/>
          <w:szCs w:val="24"/>
        </w:rPr>
        <w:t>」을</w:t>
      </w:r>
      <w:proofErr w:type="spellEnd"/>
      <w:r w:rsidRPr="007D52DF">
        <w:rPr>
          <w:rFonts w:ascii="맑은 고딕" w:eastAsia="맑은 고딕" w:hAnsi="맑은 고딕" w:cs="Times New Roman"/>
          <w:sz w:val="24"/>
          <w:szCs w:val="24"/>
        </w:rPr>
        <w:t xml:space="preserve"> 수정·보완하고 관련 요건을 명확히 할 필요가 있다.</w:t>
      </w:r>
    </w:p>
    <w:p w14:paraId="047872E7" w14:textId="77777777" w:rsidR="003E48F4" w:rsidRPr="007D52DF" w:rsidRDefault="00000000" w:rsidP="003D32A0">
      <w:pPr>
        <w:spacing w:line="580" w:lineRule="exact"/>
        <w:ind w:firstLineChars="200" w:firstLine="480"/>
        <w:rPr>
          <w:rFonts w:ascii="맑은 고딕" w:eastAsia="맑은 고딕" w:hAnsi="맑은 고딕" w:cs="Times New Roman"/>
          <w:sz w:val="24"/>
          <w:szCs w:val="24"/>
        </w:rPr>
      </w:pPr>
      <w:r w:rsidRPr="007D52DF">
        <w:rPr>
          <w:rFonts w:ascii="맑은 고딕" w:eastAsia="맑은 고딕" w:hAnsi="맑은 고딕" w:cs="Times New Roman"/>
          <w:sz w:val="24"/>
          <w:szCs w:val="24"/>
        </w:rPr>
        <w:t>2. 개정 원칙</w:t>
      </w:r>
    </w:p>
    <w:p w14:paraId="1BDCCD14" w14:textId="77777777" w:rsidR="003E48F4" w:rsidRPr="007D52DF" w:rsidRDefault="00000000" w:rsidP="003D32A0">
      <w:pPr>
        <w:spacing w:line="580" w:lineRule="exact"/>
        <w:ind w:firstLineChars="200" w:firstLine="480"/>
        <w:rPr>
          <w:rFonts w:ascii="맑은 고딕" w:eastAsia="맑은 고딕" w:hAnsi="맑은 고딕" w:cs="Times New Roman"/>
          <w:sz w:val="24"/>
          <w:szCs w:val="24"/>
        </w:rPr>
      </w:pPr>
      <w:r w:rsidRPr="007D52DF">
        <w:rPr>
          <w:rFonts w:ascii="맑은 고딕" w:eastAsia="맑은 고딕" w:hAnsi="맑은 고딕" w:cs="Times New Roman"/>
          <w:sz w:val="24"/>
          <w:szCs w:val="24"/>
        </w:rPr>
        <w:t>「화장품감독관리조례」, 「화장품허가·등록관리방법」 및 「화장품 안전성 평가 기술지침(2021년판)」 등 관련 규정을 준수하고, 업계가 과학적이고 규범적으로 안전성 평가를 실시하도록 지도하는 것을 목표로 원료 데이터 유형의 사용 요건 및 증빙자료 요건을 최적화하였다.</w:t>
      </w:r>
    </w:p>
    <w:p w14:paraId="00B444D9" w14:textId="77777777" w:rsidR="003E48F4" w:rsidRPr="007D52DF" w:rsidRDefault="00000000" w:rsidP="003D32A0">
      <w:pPr>
        <w:spacing w:line="580" w:lineRule="exact"/>
        <w:ind w:firstLineChars="200" w:firstLine="480"/>
        <w:rPr>
          <w:rFonts w:ascii="맑은 고딕" w:eastAsia="맑은 고딕" w:hAnsi="맑은 고딕" w:cs="Times New Roman"/>
          <w:sz w:val="24"/>
          <w:szCs w:val="24"/>
        </w:rPr>
      </w:pPr>
      <w:r w:rsidRPr="007D52DF">
        <w:rPr>
          <w:rFonts w:ascii="맑은 고딕" w:eastAsia="맑은 고딕" w:hAnsi="맑은 고딕" w:cs="Times New Roman"/>
          <w:sz w:val="24"/>
          <w:szCs w:val="24"/>
        </w:rPr>
        <w:t xml:space="preserve">업계 의견이 집중된 문제를 바탕으로 일부 조항의 내용을 구체화·보완하였다. 위험관리를 핵심으로 하여 안전의 마지노선을 견지하고, </w:t>
      </w:r>
      <w:r w:rsidRPr="007D52DF">
        <w:rPr>
          <w:rFonts w:ascii="맑은 고딕" w:eastAsia="맑은 고딕" w:hAnsi="맑은 고딕" w:cs="Times New Roman"/>
          <w:sz w:val="24"/>
          <w:szCs w:val="24"/>
        </w:rPr>
        <w:lastRenderedPageBreak/>
        <w:t>제품 안전을 보장한다는 전제하에 업계에 명확하고 실행 가능한 기술 지침을 제공한다.</w:t>
      </w:r>
    </w:p>
    <w:p w14:paraId="1EC1DE60" w14:textId="77777777" w:rsidR="003E48F4" w:rsidRPr="007D52DF" w:rsidRDefault="00000000" w:rsidP="003D32A0">
      <w:pPr>
        <w:spacing w:line="580" w:lineRule="exact"/>
        <w:ind w:firstLineChars="200" w:firstLine="480"/>
        <w:rPr>
          <w:rFonts w:ascii="맑은 고딕" w:eastAsia="맑은 고딕" w:hAnsi="맑은 고딕" w:cs="Times New Roman"/>
          <w:sz w:val="24"/>
          <w:szCs w:val="24"/>
        </w:rPr>
      </w:pPr>
      <w:r w:rsidRPr="007D52DF">
        <w:rPr>
          <w:rFonts w:ascii="맑은 고딕" w:eastAsia="맑은 고딕" w:hAnsi="맑은 고딕" w:cs="Times New Roman"/>
          <w:sz w:val="24"/>
          <w:szCs w:val="24"/>
        </w:rPr>
        <w:t>3. 중점 설명이 필요한 사항</w:t>
      </w:r>
    </w:p>
    <w:p w14:paraId="0E7CBC6E" w14:textId="77777777" w:rsidR="003E48F4" w:rsidRPr="007D52DF" w:rsidRDefault="00000000" w:rsidP="003D32A0">
      <w:pPr>
        <w:spacing w:line="560" w:lineRule="exact"/>
        <w:ind w:firstLineChars="200" w:firstLine="456"/>
        <w:rPr>
          <w:rFonts w:ascii="맑은 고딕" w:eastAsia="맑은 고딕" w:hAnsi="맑은 고딕" w:cs="Times New Roman"/>
          <w:spacing w:val="-6"/>
          <w:sz w:val="24"/>
          <w:szCs w:val="24"/>
        </w:rPr>
      </w:pPr>
      <w:r w:rsidRPr="007D52DF">
        <w:rPr>
          <w:rFonts w:ascii="맑은 고딕" w:eastAsia="맑은 고딕" w:hAnsi="맑은 고딕" w:cs="Times New Roman"/>
          <w:spacing w:val="-6"/>
          <w:sz w:val="24"/>
          <w:szCs w:val="24"/>
        </w:rPr>
        <w:t>(1) 원료의 3년 안전 사용 이력에 대한 사용 조건 및 증빙자료 요건 구체화</w:t>
      </w:r>
    </w:p>
    <w:p w14:paraId="625585BD" w14:textId="77777777" w:rsidR="003E48F4" w:rsidRPr="007D52DF" w:rsidRDefault="00000000" w:rsidP="003D32A0">
      <w:pPr>
        <w:spacing w:line="560" w:lineRule="exact"/>
        <w:ind w:firstLineChars="200" w:firstLine="480"/>
        <w:rPr>
          <w:rFonts w:ascii="맑은 고딕" w:eastAsia="맑은 고딕" w:hAnsi="맑은 고딕" w:cs="Times New Roman"/>
          <w:sz w:val="24"/>
          <w:szCs w:val="24"/>
        </w:rPr>
      </w:pPr>
      <w:r w:rsidRPr="007D52DF">
        <w:rPr>
          <w:rFonts w:ascii="맑은 고딕" w:eastAsia="맑은 고딕" w:hAnsi="맑은 고딕" w:cs="Times New Roman"/>
          <w:sz w:val="24"/>
          <w:szCs w:val="24"/>
        </w:rPr>
        <w:t>원료의 3년 안전 사용 이력의 사용 조건을 구체화하고, 과거 사용 농도를 참고할 수 있는 적용 상황을 명확히 하였다. 동일 원료 증빙자료의 내용을 구체화하여 원료 출처, 생산공정, 원료 조성, 품질규격 등의 측면에서 분석할 수 있음을 명확히 하였으며, 등록 제품이 제출하여야 하는 자료 요건과 출시·판매 데이터에 대한 요건을 명확히 하였다.</w:t>
      </w:r>
    </w:p>
    <w:p w14:paraId="05F88795" w14:textId="77777777" w:rsidR="003E48F4" w:rsidRPr="007D52DF" w:rsidRDefault="00000000" w:rsidP="003D32A0">
      <w:pPr>
        <w:spacing w:line="560" w:lineRule="exact"/>
        <w:ind w:firstLineChars="200" w:firstLine="480"/>
        <w:rPr>
          <w:rFonts w:ascii="맑은 고딕" w:eastAsia="맑은 고딕" w:hAnsi="맑은 고딕" w:cs="Times New Roman"/>
          <w:sz w:val="24"/>
          <w:szCs w:val="24"/>
        </w:rPr>
      </w:pPr>
      <w:r w:rsidRPr="007D52DF">
        <w:rPr>
          <w:rFonts w:ascii="맑은 고딕" w:eastAsia="맑은 고딕" w:hAnsi="맑은 고딕" w:cs="Times New Roman"/>
          <w:sz w:val="24"/>
          <w:szCs w:val="24"/>
        </w:rPr>
        <w:t>(2) 안전 식용 이력 관련 요건 보완</w:t>
      </w:r>
    </w:p>
    <w:p w14:paraId="2A7607BE" w14:textId="77777777" w:rsidR="003E48F4" w:rsidRPr="007D52DF" w:rsidRDefault="00000000" w:rsidP="003D32A0">
      <w:pPr>
        <w:spacing w:line="560" w:lineRule="exact"/>
        <w:ind w:firstLineChars="200" w:firstLine="480"/>
        <w:rPr>
          <w:rFonts w:ascii="맑은 고딕" w:eastAsia="맑은 고딕" w:hAnsi="맑은 고딕" w:cs="Times New Roman"/>
          <w:sz w:val="24"/>
          <w:szCs w:val="24"/>
        </w:rPr>
      </w:pPr>
      <w:r w:rsidRPr="007D52DF">
        <w:rPr>
          <w:rFonts w:ascii="맑은 고딕" w:eastAsia="맑은 고딕" w:hAnsi="맑은 고딕" w:cs="Times New Roman"/>
          <w:sz w:val="24"/>
          <w:szCs w:val="24"/>
        </w:rPr>
        <w:t>안전 식용 이력이 있는 원료의 생산공정 조건을 구체화하여, 생산공정이 식품 가공 과정에 가까운 경우에 더하여 '생산 과정이 물리적 가공만을 포함하는' 경우를 추가함으로써 전신독성 면제의 적용 범위를 보다 명확히 하였다.</w:t>
      </w:r>
    </w:p>
    <w:p w14:paraId="0D13C8BC" w14:textId="77777777" w:rsidR="003E48F4" w:rsidRPr="007D52DF" w:rsidRDefault="00000000" w:rsidP="003D32A0">
      <w:pPr>
        <w:spacing w:line="560" w:lineRule="exact"/>
        <w:ind w:firstLineChars="200" w:firstLine="480"/>
        <w:rPr>
          <w:rFonts w:ascii="맑은 고딕" w:eastAsia="맑은 고딕" w:hAnsi="맑은 고딕" w:cs="Times New Roman"/>
          <w:sz w:val="24"/>
          <w:szCs w:val="24"/>
        </w:rPr>
      </w:pPr>
      <w:r w:rsidRPr="007D52DF">
        <w:rPr>
          <w:rFonts w:ascii="맑은 고딕" w:eastAsia="맑은 고딕" w:hAnsi="맑은 고딕" w:cs="Times New Roman"/>
          <w:sz w:val="24"/>
          <w:szCs w:val="24"/>
        </w:rPr>
        <w:t>(3) 기미제거·</w:t>
      </w:r>
      <w:proofErr w:type="spellStart"/>
      <w:r w:rsidRPr="007D52DF">
        <w:rPr>
          <w:rFonts w:ascii="맑은 고딕" w:eastAsia="맑은 고딕" w:hAnsi="맑은 고딕" w:cs="Times New Roman"/>
          <w:sz w:val="24"/>
          <w:szCs w:val="24"/>
        </w:rPr>
        <w:t>미백제</w:t>
      </w:r>
      <w:proofErr w:type="spellEnd"/>
      <w:r w:rsidRPr="007D52DF">
        <w:rPr>
          <w:rFonts w:ascii="맑은 고딕" w:eastAsia="맑은 고딕" w:hAnsi="맑은 고딕" w:cs="Times New Roman"/>
          <w:sz w:val="24"/>
          <w:szCs w:val="24"/>
        </w:rPr>
        <w:t xml:space="preserve"> 및 탈모방지제의 평가 근거 요건 조정</w:t>
      </w:r>
    </w:p>
    <w:p w14:paraId="73BA1BE7" w14:textId="2DB3968F" w:rsidR="003E48F4" w:rsidRPr="007D52DF" w:rsidRDefault="00000000" w:rsidP="003D32A0">
      <w:pPr>
        <w:spacing w:line="560" w:lineRule="exact"/>
        <w:ind w:firstLineChars="200" w:firstLine="480"/>
        <w:rPr>
          <w:rFonts w:ascii="맑은 고딕" w:eastAsia="맑은 고딕" w:hAnsi="맑은 고딕" w:cs="Times New Roman" w:hint="eastAsia"/>
          <w:sz w:val="24"/>
          <w:szCs w:val="24"/>
        </w:rPr>
      </w:pPr>
      <w:r w:rsidRPr="007D52DF">
        <w:rPr>
          <w:rFonts w:ascii="맑은 고딕" w:eastAsia="맑은 고딕" w:hAnsi="맑은 고딕" w:cs="Times New Roman"/>
          <w:sz w:val="24"/>
          <w:szCs w:val="24"/>
        </w:rPr>
        <w:t>기미제거·</w:t>
      </w:r>
      <w:proofErr w:type="spellStart"/>
      <w:r w:rsidRPr="007D52DF">
        <w:rPr>
          <w:rFonts w:ascii="맑은 고딕" w:eastAsia="맑은 고딕" w:hAnsi="맑은 고딕" w:cs="Times New Roman"/>
          <w:sz w:val="24"/>
          <w:szCs w:val="24"/>
        </w:rPr>
        <w:t>미백제</w:t>
      </w:r>
      <w:proofErr w:type="spellEnd"/>
      <w:r w:rsidRPr="007D52DF">
        <w:rPr>
          <w:rFonts w:ascii="맑은 고딕" w:eastAsia="맑은 고딕" w:hAnsi="맑은 고딕" w:cs="Times New Roman"/>
          <w:sz w:val="24"/>
          <w:szCs w:val="24"/>
        </w:rPr>
        <w:t xml:space="preserve"> 및 탈모방지제로 사용되는 원료는 국제 화장품 안전성 평가기관이 공표한 평가 결론, 세계보건기구(WHO) 등 권위 있는 기관이 이미 공표한 안전 한도 또는 결론, 원료의 3년 안전 사용 이력 및 안전 식용 이력을 평가 근거로 사용할 수 있음을 명확히 하였다. 또한 기미제거·미백제가 원료의 3년 안전 사용 이력, 안전 식용 이력을 평가 근거로 채택하는 경우에는 원료의 이화학적 특성, 미백 작용기전 등에 근거하여 관련 안전 위험이 존재하는지를 충분히 분석하여야 하며, 인체 피부에 장기간 작용할 경우의 안전 위험을 </w:t>
      </w:r>
      <w:r w:rsidRPr="007D52DF">
        <w:rPr>
          <w:rFonts w:ascii="맑은 고딕" w:eastAsia="맑은 고딕" w:hAnsi="맑은 고딕" w:cs="Times New Roman"/>
          <w:sz w:val="24"/>
          <w:szCs w:val="24"/>
        </w:rPr>
        <w:lastRenderedPageBreak/>
        <w:t>배제할 수 없는 경우에는 인체 장기 사용시험 관련 자료를 보완하여야 함을 명확히 제시하였다.</w:t>
      </w:r>
    </w:p>
    <w:sectPr w:rsidR="003E48F4" w:rsidRPr="007D52DF">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EAD91" w14:textId="77777777" w:rsidR="0064746B" w:rsidRDefault="0064746B">
      <w:r>
        <w:separator/>
      </w:r>
    </w:p>
  </w:endnote>
  <w:endnote w:type="continuationSeparator" w:id="0">
    <w:p w14:paraId="2B6AFF1A" w14:textId="77777777" w:rsidR="0064746B" w:rsidRDefault="00647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embedRegular r:id="rId1" w:subsetted="1" w:fontKey="{E72D3A09-8271-4905-984F-EBB27CB7F4F8}"/>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embedRegular r:id="rId2" w:subsetted="1" w:fontKey="{E9F32B57-4FB6-491F-867B-33B7769E9A74}"/>
    <w:embedBold r:id="rId3" w:subsetted="1" w:fontKey="{9EA96F76-453B-4BE7-BC36-F30BD3B106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132355"/>
    </w:sdtPr>
    <w:sdtEndPr>
      <w:rPr>
        <w:rFonts w:ascii="바탕" w:hAnsi="바탕"/>
        <w:sz w:val="28"/>
        <w:szCs w:val="28"/>
      </w:rPr>
    </w:sdtEndPr>
    <w:sdtContent>
      <w:p w14:paraId="10AE2EB4" w14:textId="77777777" w:rsidR="003E48F4" w:rsidRDefault="00000000">
        <w:pPr>
          <w:pStyle w:val="a5"/>
          <w:jc w:val="center"/>
          <w:rPr>
            <w:rFonts w:ascii="바탕" w:hAnsi="바탕"/>
            <w:sz w:val="28"/>
            <w:szCs w:val="28"/>
          </w:rPr>
        </w:pPr>
        <w:r>
          <w:rPr>
            <w:rFonts w:ascii="바탕" w:hAnsi="바탕" w:hint="eastAsia"/>
            <w:sz w:val="28"/>
            <w:szCs w:val="28"/>
          </w:rPr>
          <w:t>-</w:t>
        </w:r>
        <w:r>
          <w:rPr>
            <w:rFonts w:ascii="바탕" w:hAnsi="바탕"/>
            <w:sz w:val="28"/>
            <w:szCs w:val="28"/>
          </w:rPr>
          <w:fldChar w:fldCharType="begin"/>
        </w:r>
        <w:r>
          <w:rPr>
            <w:rFonts w:ascii="바탕" w:hAnsi="바탕"/>
            <w:sz w:val="28"/>
            <w:szCs w:val="28"/>
          </w:rPr>
          <w:instrText>PAGE   \* MERGEFORMAT</w:instrText>
        </w:r>
        <w:r>
          <w:rPr>
            <w:rFonts w:ascii="바탕" w:hAnsi="바탕"/>
            <w:sz w:val="28"/>
            <w:szCs w:val="28"/>
          </w:rPr>
          <w:fldChar w:fldCharType="separate"/>
        </w:r>
        <w:r>
          <w:rPr>
            <w:rFonts w:ascii="바탕" w:hAnsi="바탕"/>
            <w:sz w:val="28"/>
            <w:szCs w:val="28"/>
            <w:lang w:val="ko-KR"/>
          </w:rPr>
          <w:t>10</w:t>
        </w:r>
        <w:r>
          <w:rPr>
            <w:rFonts w:ascii="바탕" w:hAnsi="바탕"/>
            <w:sz w:val="28"/>
            <w:szCs w:val="28"/>
          </w:rPr>
          <w:fldChar w:fldCharType="end"/>
        </w:r>
        <w:r>
          <w:rPr>
            <w:rFonts w:ascii="바탕" w:hAnsi="바탕" w:hint="eastAsia"/>
            <w:sz w:val="28"/>
            <w:szCs w:val="28"/>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5D97E" w14:textId="77777777" w:rsidR="0064746B" w:rsidRDefault="0064746B">
      <w:r>
        <w:separator/>
      </w:r>
    </w:p>
  </w:footnote>
  <w:footnote w:type="continuationSeparator" w:id="0">
    <w:p w14:paraId="0FB7CC13" w14:textId="77777777" w:rsidR="0064746B" w:rsidRDefault="006474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hideSpellingErrors/>
  <w:hideGrammaticalErrors/>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300"/>
    <w:rsid w:val="00007826"/>
    <w:rsid w:val="00014DDF"/>
    <w:rsid w:val="00020494"/>
    <w:rsid w:val="00026B0D"/>
    <w:rsid w:val="0003027D"/>
    <w:rsid w:val="000307E9"/>
    <w:rsid w:val="0003271C"/>
    <w:rsid w:val="00032DFC"/>
    <w:rsid w:val="000376C7"/>
    <w:rsid w:val="00041090"/>
    <w:rsid w:val="0005036E"/>
    <w:rsid w:val="000534A3"/>
    <w:rsid w:val="000615E5"/>
    <w:rsid w:val="00066660"/>
    <w:rsid w:val="0007387E"/>
    <w:rsid w:val="00074E22"/>
    <w:rsid w:val="0009263B"/>
    <w:rsid w:val="000A11E1"/>
    <w:rsid w:val="000A3A56"/>
    <w:rsid w:val="000A7B36"/>
    <w:rsid w:val="000B3E3E"/>
    <w:rsid w:val="000D2994"/>
    <w:rsid w:val="000E2E68"/>
    <w:rsid w:val="000F1E8D"/>
    <w:rsid w:val="000F2B37"/>
    <w:rsid w:val="000F2E5B"/>
    <w:rsid w:val="000F2F22"/>
    <w:rsid w:val="000F5744"/>
    <w:rsid w:val="000F673E"/>
    <w:rsid w:val="001205D7"/>
    <w:rsid w:val="001308EF"/>
    <w:rsid w:val="00137076"/>
    <w:rsid w:val="00143D76"/>
    <w:rsid w:val="00157C5B"/>
    <w:rsid w:val="00164FB4"/>
    <w:rsid w:val="001669AB"/>
    <w:rsid w:val="00176183"/>
    <w:rsid w:val="00196F90"/>
    <w:rsid w:val="001C1387"/>
    <w:rsid w:val="001C7250"/>
    <w:rsid w:val="001F5437"/>
    <w:rsid w:val="001F701D"/>
    <w:rsid w:val="00206A5F"/>
    <w:rsid w:val="00213BBE"/>
    <w:rsid w:val="002370ED"/>
    <w:rsid w:val="00242300"/>
    <w:rsid w:val="00251A82"/>
    <w:rsid w:val="00265A72"/>
    <w:rsid w:val="00276985"/>
    <w:rsid w:val="002814BD"/>
    <w:rsid w:val="00284CDF"/>
    <w:rsid w:val="00287C08"/>
    <w:rsid w:val="002928B6"/>
    <w:rsid w:val="0029444A"/>
    <w:rsid w:val="00294967"/>
    <w:rsid w:val="002A051E"/>
    <w:rsid w:val="002A60FB"/>
    <w:rsid w:val="002A6B2E"/>
    <w:rsid w:val="002B5CFA"/>
    <w:rsid w:val="002C469E"/>
    <w:rsid w:val="002C70A4"/>
    <w:rsid w:val="002C7C38"/>
    <w:rsid w:val="002D55F7"/>
    <w:rsid w:val="002E4B01"/>
    <w:rsid w:val="002E7880"/>
    <w:rsid w:val="002F0BC5"/>
    <w:rsid w:val="00317533"/>
    <w:rsid w:val="00321947"/>
    <w:rsid w:val="00325652"/>
    <w:rsid w:val="00332DE0"/>
    <w:rsid w:val="003340C5"/>
    <w:rsid w:val="00334F19"/>
    <w:rsid w:val="003446DA"/>
    <w:rsid w:val="00344D35"/>
    <w:rsid w:val="0034558A"/>
    <w:rsid w:val="00351629"/>
    <w:rsid w:val="00353A4B"/>
    <w:rsid w:val="00362231"/>
    <w:rsid w:val="0036489A"/>
    <w:rsid w:val="003705D5"/>
    <w:rsid w:val="003801ED"/>
    <w:rsid w:val="00390095"/>
    <w:rsid w:val="00390282"/>
    <w:rsid w:val="00395253"/>
    <w:rsid w:val="003971DA"/>
    <w:rsid w:val="003A1142"/>
    <w:rsid w:val="003B2792"/>
    <w:rsid w:val="003B2B48"/>
    <w:rsid w:val="003B4EAA"/>
    <w:rsid w:val="003C2830"/>
    <w:rsid w:val="003C33A2"/>
    <w:rsid w:val="003D32A0"/>
    <w:rsid w:val="003D6F4C"/>
    <w:rsid w:val="003E2425"/>
    <w:rsid w:val="003E48F4"/>
    <w:rsid w:val="003F3B4A"/>
    <w:rsid w:val="003F5ECD"/>
    <w:rsid w:val="003F6ADF"/>
    <w:rsid w:val="00401316"/>
    <w:rsid w:val="004111F1"/>
    <w:rsid w:val="0041538F"/>
    <w:rsid w:val="004178FC"/>
    <w:rsid w:val="00425F40"/>
    <w:rsid w:val="00431CC4"/>
    <w:rsid w:val="00433E8C"/>
    <w:rsid w:val="0044466E"/>
    <w:rsid w:val="00451F7B"/>
    <w:rsid w:val="00462915"/>
    <w:rsid w:val="00465677"/>
    <w:rsid w:val="00491142"/>
    <w:rsid w:val="00497FC8"/>
    <w:rsid w:val="004B5436"/>
    <w:rsid w:val="004B5C0C"/>
    <w:rsid w:val="004B7ABD"/>
    <w:rsid w:val="004C0180"/>
    <w:rsid w:val="004D32EF"/>
    <w:rsid w:val="004D3FA3"/>
    <w:rsid w:val="004D7AE2"/>
    <w:rsid w:val="004E0B87"/>
    <w:rsid w:val="004E19BE"/>
    <w:rsid w:val="004E6636"/>
    <w:rsid w:val="004F4C32"/>
    <w:rsid w:val="004F6DDB"/>
    <w:rsid w:val="004F7366"/>
    <w:rsid w:val="00502A57"/>
    <w:rsid w:val="00502D73"/>
    <w:rsid w:val="00517325"/>
    <w:rsid w:val="0052175A"/>
    <w:rsid w:val="005301F8"/>
    <w:rsid w:val="00543CBD"/>
    <w:rsid w:val="005457D3"/>
    <w:rsid w:val="005506B5"/>
    <w:rsid w:val="00554A02"/>
    <w:rsid w:val="00570F04"/>
    <w:rsid w:val="00573864"/>
    <w:rsid w:val="00573E28"/>
    <w:rsid w:val="00574558"/>
    <w:rsid w:val="00584610"/>
    <w:rsid w:val="00585742"/>
    <w:rsid w:val="00590CB3"/>
    <w:rsid w:val="005913AB"/>
    <w:rsid w:val="0059638D"/>
    <w:rsid w:val="005A3F7C"/>
    <w:rsid w:val="005A6C05"/>
    <w:rsid w:val="005A7675"/>
    <w:rsid w:val="005B07B8"/>
    <w:rsid w:val="005B52D9"/>
    <w:rsid w:val="005B709F"/>
    <w:rsid w:val="005C0297"/>
    <w:rsid w:val="005C2772"/>
    <w:rsid w:val="005C7676"/>
    <w:rsid w:val="005D71C0"/>
    <w:rsid w:val="005E10E3"/>
    <w:rsid w:val="005E15F0"/>
    <w:rsid w:val="005E1628"/>
    <w:rsid w:val="005E1D2E"/>
    <w:rsid w:val="005E3E87"/>
    <w:rsid w:val="005F4739"/>
    <w:rsid w:val="006008CF"/>
    <w:rsid w:val="0060468A"/>
    <w:rsid w:val="00621E83"/>
    <w:rsid w:val="00623A27"/>
    <w:rsid w:val="006244FE"/>
    <w:rsid w:val="00626136"/>
    <w:rsid w:val="0062628A"/>
    <w:rsid w:val="00627E25"/>
    <w:rsid w:val="00631859"/>
    <w:rsid w:val="00640ABA"/>
    <w:rsid w:val="00641834"/>
    <w:rsid w:val="0064190A"/>
    <w:rsid w:val="00643643"/>
    <w:rsid w:val="0064746B"/>
    <w:rsid w:val="00647B94"/>
    <w:rsid w:val="00662847"/>
    <w:rsid w:val="00665F9E"/>
    <w:rsid w:val="006830DA"/>
    <w:rsid w:val="0069689E"/>
    <w:rsid w:val="006C0863"/>
    <w:rsid w:val="006C6D8A"/>
    <w:rsid w:val="006D0B64"/>
    <w:rsid w:val="006D117E"/>
    <w:rsid w:val="006E13EC"/>
    <w:rsid w:val="006E7068"/>
    <w:rsid w:val="006F0A98"/>
    <w:rsid w:val="006F64AB"/>
    <w:rsid w:val="006F658C"/>
    <w:rsid w:val="00736DAC"/>
    <w:rsid w:val="0074019E"/>
    <w:rsid w:val="00740A1C"/>
    <w:rsid w:val="007446B6"/>
    <w:rsid w:val="00750D17"/>
    <w:rsid w:val="00751938"/>
    <w:rsid w:val="00754750"/>
    <w:rsid w:val="007549B8"/>
    <w:rsid w:val="00765740"/>
    <w:rsid w:val="00785087"/>
    <w:rsid w:val="007A29AA"/>
    <w:rsid w:val="007B4841"/>
    <w:rsid w:val="007C29A7"/>
    <w:rsid w:val="007C31A8"/>
    <w:rsid w:val="007C3607"/>
    <w:rsid w:val="007C3905"/>
    <w:rsid w:val="007D01F2"/>
    <w:rsid w:val="007D52DF"/>
    <w:rsid w:val="007D6E3B"/>
    <w:rsid w:val="007F15EC"/>
    <w:rsid w:val="007F741F"/>
    <w:rsid w:val="007F7B23"/>
    <w:rsid w:val="00801AEF"/>
    <w:rsid w:val="00805946"/>
    <w:rsid w:val="00825FE7"/>
    <w:rsid w:val="00833E24"/>
    <w:rsid w:val="00853179"/>
    <w:rsid w:val="00864776"/>
    <w:rsid w:val="0089114C"/>
    <w:rsid w:val="008A03B4"/>
    <w:rsid w:val="008A21FE"/>
    <w:rsid w:val="008A6234"/>
    <w:rsid w:val="008A6A20"/>
    <w:rsid w:val="008F1891"/>
    <w:rsid w:val="008F3ECF"/>
    <w:rsid w:val="009266BA"/>
    <w:rsid w:val="0092748E"/>
    <w:rsid w:val="00927BC0"/>
    <w:rsid w:val="0093691E"/>
    <w:rsid w:val="00937644"/>
    <w:rsid w:val="00951BCD"/>
    <w:rsid w:val="00966093"/>
    <w:rsid w:val="00966229"/>
    <w:rsid w:val="0097695C"/>
    <w:rsid w:val="0098157F"/>
    <w:rsid w:val="0098613F"/>
    <w:rsid w:val="0099091D"/>
    <w:rsid w:val="00990ADB"/>
    <w:rsid w:val="009A29DC"/>
    <w:rsid w:val="009A65E7"/>
    <w:rsid w:val="009A694E"/>
    <w:rsid w:val="009B0510"/>
    <w:rsid w:val="009B08CF"/>
    <w:rsid w:val="009B49EE"/>
    <w:rsid w:val="009C2242"/>
    <w:rsid w:val="009C689E"/>
    <w:rsid w:val="009D0307"/>
    <w:rsid w:val="009E1E3B"/>
    <w:rsid w:val="009E6C1C"/>
    <w:rsid w:val="009F133A"/>
    <w:rsid w:val="00A02AA7"/>
    <w:rsid w:val="00A15815"/>
    <w:rsid w:val="00A1675C"/>
    <w:rsid w:val="00A31783"/>
    <w:rsid w:val="00A47899"/>
    <w:rsid w:val="00A47C82"/>
    <w:rsid w:val="00A5659F"/>
    <w:rsid w:val="00A57FEB"/>
    <w:rsid w:val="00A61139"/>
    <w:rsid w:val="00A76586"/>
    <w:rsid w:val="00A8173A"/>
    <w:rsid w:val="00AA7EBF"/>
    <w:rsid w:val="00AB29FC"/>
    <w:rsid w:val="00AB4D78"/>
    <w:rsid w:val="00AB510C"/>
    <w:rsid w:val="00AC1A09"/>
    <w:rsid w:val="00AC31AB"/>
    <w:rsid w:val="00AC3B1B"/>
    <w:rsid w:val="00AC41C4"/>
    <w:rsid w:val="00AD229C"/>
    <w:rsid w:val="00AE6642"/>
    <w:rsid w:val="00AE7D7F"/>
    <w:rsid w:val="00B03189"/>
    <w:rsid w:val="00B2395E"/>
    <w:rsid w:val="00B23C82"/>
    <w:rsid w:val="00B2644B"/>
    <w:rsid w:val="00B311C4"/>
    <w:rsid w:val="00B4240B"/>
    <w:rsid w:val="00B5136E"/>
    <w:rsid w:val="00B65D34"/>
    <w:rsid w:val="00B83A66"/>
    <w:rsid w:val="00B85085"/>
    <w:rsid w:val="00B92EDD"/>
    <w:rsid w:val="00B93EC0"/>
    <w:rsid w:val="00B95932"/>
    <w:rsid w:val="00B95DFE"/>
    <w:rsid w:val="00BA2761"/>
    <w:rsid w:val="00BB3C8C"/>
    <w:rsid w:val="00BB50FA"/>
    <w:rsid w:val="00BC57C7"/>
    <w:rsid w:val="00BC5B7A"/>
    <w:rsid w:val="00BD074A"/>
    <w:rsid w:val="00BE2C30"/>
    <w:rsid w:val="00BE3BB1"/>
    <w:rsid w:val="00C0781D"/>
    <w:rsid w:val="00C15373"/>
    <w:rsid w:val="00C15A01"/>
    <w:rsid w:val="00C176ED"/>
    <w:rsid w:val="00C21616"/>
    <w:rsid w:val="00C27A85"/>
    <w:rsid w:val="00C3045B"/>
    <w:rsid w:val="00C30AD5"/>
    <w:rsid w:val="00C345EA"/>
    <w:rsid w:val="00C35AE1"/>
    <w:rsid w:val="00C450FC"/>
    <w:rsid w:val="00C5223B"/>
    <w:rsid w:val="00C655EA"/>
    <w:rsid w:val="00C7078F"/>
    <w:rsid w:val="00C70882"/>
    <w:rsid w:val="00C86F81"/>
    <w:rsid w:val="00C935F0"/>
    <w:rsid w:val="00C973C4"/>
    <w:rsid w:val="00CA0C28"/>
    <w:rsid w:val="00CA5F73"/>
    <w:rsid w:val="00CB488A"/>
    <w:rsid w:val="00CC11B4"/>
    <w:rsid w:val="00CD22F7"/>
    <w:rsid w:val="00CD7532"/>
    <w:rsid w:val="00CF2555"/>
    <w:rsid w:val="00D07900"/>
    <w:rsid w:val="00D07DC2"/>
    <w:rsid w:val="00D10DF5"/>
    <w:rsid w:val="00D20F56"/>
    <w:rsid w:val="00D30AA6"/>
    <w:rsid w:val="00D32D26"/>
    <w:rsid w:val="00D50409"/>
    <w:rsid w:val="00D5590A"/>
    <w:rsid w:val="00D70BCF"/>
    <w:rsid w:val="00D74C33"/>
    <w:rsid w:val="00D755E3"/>
    <w:rsid w:val="00D80967"/>
    <w:rsid w:val="00D87CA9"/>
    <w:rsid w:val="00D91960"/>
    <w:rsid w:val="00DA0913"/>
    <w:rsid w:val="00DA0DA6"/>
    <w:rsid w:val="00DA2E46"/>
    <w:rsid w:val="00DB1878"/>
    <w:rsid w:val="00DC1259"/>
    <w:rsid w:val="00DC6163"/>
    <w:rsid w:val="00DC770E"/>
    <w:rsid w:val="00DD2779"/>
    <w:rsid w:val="00DE3A94"/>
    <w:rsid w:val="00DE3CEA"/>
    <w:rsid w:val="00E014F2"/>
    <w:rsid w:val="00E020CE"/>
    <w:rsid w:val="00E03BA8"/>
    <w:rsid w:val="00E3169F"/>
    <w:rsid w:val="00E3389F"/>
    <w:rsid w:val="00E41A4F"/>
    <w:rsid w:val="00E45345"/>
    <w:rsid w:val="00E519DC"/>
    <w:rsid w:val="00E609C0"/>
    <w:rsid w:val="00E75C00"/>
    <w:rsid w:val="00E93686"/>
    <w:rsid w:val="00E95551"/>
    <w:rsid w:val="00EB422A"/>
    <w:rsid w:val="00EC73AE"/>
    <w:rsid w:val="00ED64C0"/>
    <w:rsid w:val="00EE3083"/>
    <w:rsid w:val="00EE65CF"/>
    <w:rsid w:val="00F011CA"/>
    <w:rsid w:val="00F17988"/>
    <w:rsid w:val="00F25A55"/>
    <w:rsid w:val="00F26891"/>
    <w:rsid w:val="00F37164"/>
    <w:rsid w:val="00F37E4C"/>
    <w:rsid w:val="00F46C5D"/>
    <w:rsid w:val="00F64337"/>
    <w:rsid w:val="00F669CC"/>
    <w:rsid w:val="00F70B94"/>
    <w:rsid w:val="00F757B1"/>
    <w:rsid w:val="00F77A44"/>
    <w:rsid w:val="00F82A1C"/>
    <w:rsid w:val="00F839C4"/>
    <w:rsid w:val="00F84A9C"/>
    <w:rsid w:val="00F94DC7"/>
    <w:rsid w:val="00FA4E60"/>
    <w:rsid w:val="00FB040A"/>
    <w:rsid w:val="00FB04BC"/>
    <w:rsid w:val="00FB0536"/>
    <w:rsid w:val="00FB096F"/>
    <w:rsid w:val="00FB18A0"/>
    <w:rsid w:val="00FB1FC7"/>
    <w:rsid w:val="00FB29C8"/>
    <w:rsid w:val="00FB3C82"/>
    <w:rsid w:val="00FB6FD0"/>
    <w:rsid w:val="00FD5DF7"/>
    <w:rsid w:val="00FE14DC"/>
    <w:rsid w:val="00FE5DCE"/>
    <w:rsid w:val="00FF1D1C"/>
    <w:rsid w:val="030E7E36"/>
    <w:rsid w:val="0D211BD2"/>
    <w:rsid w:val="0DAB2E51"/>
    <w:rsid w:val="0EBA5CB8"/>
    <w:rsid w:val="11EC0FF2"/>
    <w:rsid w:val="17306175"/>
    <w:rsid w:val="2B9952EB"/>
    <w:rsid w:val="2C395116"/>
    <w:rsid w:val="2D695D0D"/>
    <w:rsid w:val="3E7E7642"/>
    <w:rsid w:val="447137A5"/>
    <w:rsid w:val="45935D6C"/>
    <w:rsid w:val="4D626381"/>
    <w:rsid w:val="4DD13378"/>
    <w:rsid w:val="5107568B"/>
    <w:rsid w:val="513D5B28"/>
    <w:rsid w:val="58B43CAD"/>
    <w:rsid w:val="5E8C743B"/>
    <w:rsid w:val="60441AFF"/>
    <w:rsid w:val="6E4F1DD9"/>
    <w:rsid w:val="6F6840AB"/>
    <w:rsid w:val="70857DED"/>
    <w:rsid w:val="74366039"/>
    <w:rsid w:val="771B5D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AFA9E"/>
  <w15:docId w15:val="{80D87356-58DE-42FE-ABE1-396CD7EDD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바탕" w:hAnsi="Calibri" w:cs="바탕"/>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qFormat/>
    <w:pPr>
      <w:jc w:val="left"/>
    </w:pPr>
  </w:style>
  <w:style w:type="paragraph" w:styleId="3">
    <w:name w:val="toc 3"/>
    <w:basedOn w:val="a"/>
    <w:next w:val="a"/>
    <w:autoRedefine/>
    <w:uiPriority w:val="39"/>
    <w:unhideWhenUsed/>
    <w:qFormat/>
    <w:pPr>
      <w:widowControl/>
      <w:spacing w:after="100" w:line="259" w:lineRule="auto"/>
      <w:ind w:left="440"/>
      <w:jc w:val="left"/>
    </w:pPr>
    <w:rPr>
      <w:rFonts w:asciiTheme="minorHAnsi" w:eastAsiaTheme="minorEastAsia" w:hAnsiTheme="minorHAnsi" w:cs="Times New Roman"/>
      <w:kern w:val="0"/>
      <w:sz w:val="22"/>
    </w:rPr>
  </w:style>
  <w:style w:type="paragraph" w:styleId="a4">
    <w:name w:val="Balloon Text"/>
    <w:basedOn w:val="a"/>
    <w:link w:val="Char0"/>
    <w:uiPriority w:val="99"/>
    <w:qFormat/>
    <w:rPr>
      <w:sz w:val="18"/>
      <w:szCs w:val="18"/>
    </w:rPr>
  </w:style>
  <w:style w:type="paragraph" w:styleId="a5">
    <w:name w:val="footer"/>
    <w:basedOn w:val="a"/>
    <w:link w:val="Char1"/>
    <w:uiPriority w:val="99"/>
    <w:qFormat/>
    <w:pPr>
      <w:tabs>
        <w:tab w:val="center" w:pos="4153"/>
        <w:tab w:val="right" w:pos="8306"/>
      </w:tabs>
      <w:snapToGrid w:val="0"/>
      <w:jc w:val="left"/>
    </w:pPr>
    <w:rPr>
      <w:sz w:val="18"/>
      <w:szCs w:val="18"/>
    </w:rPr>
  </w:style>
  <w:style w:type="paragraph" w:styleId="a6">
    <w:name w:val="header"/>
    <w:basedOn w:val="a"/>
    <w:link w:val="Char2"/>
    <w:uiPriority w:val="99"/>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unhideWhenUsed/>
    <w:qFormat/>
    <w:pPr>
      <w:widowControl/>
      <w:tabs>
        <w:tab w:val="right" w:leader="dot" w:pos="8296"/>
      </w:tabs>
      <w:spacing w:after="100" w:line="259" w:lineRule="auto"/>
      <w:jc w:val="left"/>
    </w:pPr>
    <w:rPr>
      <w:rFonts w:asciiTheme="minorHAnsi" w:eastAsiaTheme="minorEastAsia" w:hAnsiTheme="minorHAnsi" w:cs="Times New Roman"/>
      <w:kern w:val="0"/>
      <w:sz w:val="22"/>
    </w:rPr>
  </w:style>
  <w:style w:type="paragraph" w:styleId="20">
    <w:name w:val="toc 2"/>
    <w:basedOn w:val="a"/>
    <w:next w:val="a"/>
    <w:autoRedefine/>
    <w:uiPriority w:val="39"/>
    <w:unhideWhenUsed/>
    <w:qFormat/>
    <w:pPr>
      <w:widowControl/>
      <w:spacing w:after="100" w:line="259" w:lineRule="auto"/>
      <w:ind w:left="220"/>
      <w:jc w:val="left"/>
    </w:pPr>
    <w:rPr>
      <w:rFonts w:asciiTheme="minorHAnsi" w:eastAsiaTheme="minorEastAsia" w:hAnsiTheme="minorHAnsi" w:cs="Times New Roman"/>
      <w:kern w:val="0"/>
      <w:sz w:val="22"/>
    </w:rPr>
  </w:style>
  <w:style w:type="paragraph" w:styleId="a7">
    <w:name w:val="annotation subject"/>
    <w:basedOn w:val="a3"/>
    <w:next w:val="a3"/>
    <w:link w:val="Char3"/>
    <w:uiPriority w:val="99"/>
    <w:semiHidden/>
    <w:unhideWhenUsed/>
    <w:qFormat/>
    <w:rPr>
      <w:b/>
      <w:bCs/>
    </w:rPr>
  </w:style>
  <w:style w:type="table" w:styleId="a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autoRedefine/>
    <w:uiPriority w:val="99"/>
    <w:unhideWhenUsed/>
    <w:qFormat/>
    <w:rPr>
      <w:color w:val="0000FF" w:themeColor="hyperlink"/>
      <w:u w:val="single"/>
    </w:rPr>
  </w:style>
  <w:style w:type="character" w:styleId="aa">
    <w:name w:val="annotation reference"/>
    <w:basedOn w:val="a0"/>
    <w:uiPriority w:val="99"/>
    <w:qFormat/>
    <w:rPr>
      <w:sz w:val="21"/>
      <w:szCs w:val="21"/>
    </w:rPr>
  </w:style>
  <w:style w:type="character" w:customStyle="1" w:styleId="Char2">
    <w:name w:val="머리글 Char"/>
    <w:basedOn w:val="a0"/>
    <w:link w:val="a6"/>
    <w:uiPriority w:val="99"/>
    <w:qFormat/>
    <w:rPr>
      <w:sz w:val="18"/>
      <w:szCs w:val="18"/>
    </w:rPr>
  </w:style>
  <w:style w:type="character" w:customStyle="1" w:styleId="Char1">
    <w:name w:val="바닥글 Char"/>
    <w:basedOn w:val="a0"/>
    <w:link w:val="a5"/>
    <w:uiPriority w:val="99"/>
    <w:qFormat/>
    <w:rPr>
      <w:sz w:val="18"/>
      <w:szCs w:val="18"/>
    </w:rPr>
  </w:style>
  <w:style w:type="character" w:customStyle="1" w:styleId="Char0">
    <w:name w:val="풍선 도움말 텍스트 Char"/>
    <w:basedOn w:val="a0"/>
    <w:link w:val="a4"/>
    <w:uiPriority w:val="99"/>
    <w:qFormat/>
    <w:rPr>
      <w:kern w:val="2"/>
      <w:sz w:val="18"/>
      <w:szCs w:val="18"/>
    </w:rPr>
  </w:style>
  <w:style w:type="paragraph" w:customStyle="1" w:styleId="11">
    <w:name w:val="修订1"/>
    <w:uiPriority w:val="99"/>
    <w:qFormat/>
    <w:rPr>
      <w:kern w:val="2"/>
      <w:sz w:val="21"/>
      <w:szCs w:val="22"/>
    </w:rPr>
  </w:style>
  <w:style w:type="table" w:customStyle="1" w:styleId="12">
    <w:name w:val="网格型1"/>
    <w:basedOn w:val="a1"/>
    <w:qFormat/>
    <w:pPr>
      <w:widowControl w:val="0"/>
      <w:jc w:val="both"/>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修订2"/>
    <w:hidden/>
    <w:uiPriority w:val="99"/>
    <w:semiHidden/>
    <w:qFormat/>
    <w:rPr>
      <w:kern w:val="2"/>
      <w:sz w:val="21"/>
      <w:szCs w:val="22"/>
    </w:rPr>
  </w:style>
  <w:style w:type="character" w:customStyle="1" w:styleId="1Char">
    <w:name w:val="제목 1 Char"/>
    <w:basedOn w:val="a0"/>
    <w:link w:val="1"/>
    <w:uiPriority w:val="9"/>
    <w:qFormat/>
    <w:rPr>
      <w:b/>
      <w:bCs/>
      <w:kern w:val="44"/>
      <w:sz w:val="44"/>
      <w:szCs w:val="44"/>
    </w:rPr>
  </w:style>
  <w:style w:type="paragraph" w:customStyle="1" w:styleId="TOC1">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customStyle="1" w:styleId="TOC11">
    <w:name w:val="TOC 标题11"/>
    <w:basedOn w:val="1"/>
    <w:next w:val="a"/>
    <w:autoRedefine/>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character" w:customStyle="1" w:styleId="Char">
    <w:name w:val="메모 텍스트 Char"/>
    <w:basedOn w:val="a0"/>
    <w:link w:val="a3"/>
    <w:uiPriority w:val="99"/>
    <w:qFormat/>
    <w:rPr>
      <w:kern w:val="2"/>
      <w:sz w:val="21"/>
      <w:szCs w:val="22"/>
    </w:rPr>
  </w:style>
  <w:style w:type="character" w:customStyle="1" w:styleId="Char3">
    <w:name w:val="메모 주제 Char"/>
    <w:basedOn w:val="Char"/>
    <w:link w:val="a7"/>
    <w:uiPriority w:val="99"/>
    <w:semiHidden/>
    <w:qFormat/>
    <w:rPr>
      <w:b/>
      <w:bCs/>
      <w:kern w:val="2"/>
      <w:sz w:val="21"/>
      <w:szCs w:val="22"/>
    </w:rPr>
  </w:style>
  <w:style w:type="paragraph" w:styleId="ab">
    <w:name w:val="Quote"/>
    <w:basedOn w:val="a"/>
    <w:next w:val="a"/>
    <w:link w:val="Char4"/>
    <w:uiPriority w:val="29"/>
    <w:qFormat/>
    <w:pPr>
      <w:spacing w:before="200" w:after="160"/>
      <w:ind w:left="864" w:right="864"/>
      <w:jc w:val="center"/>
    </w:pPr>
    <w:rPr>
      <w:i/>
      <w:iCs/>
      <w:color w:val="404040" w:themeColor="text1" w:themeTint="BF"/>
    </w:rPr>
  </w:style>
  <w:style w:type="character" w:customStyle="1" w:styleId="Char4">
    <w:name w:val="인용 Char"/>
    <w:basedOn w:val="a0"/>
    <w:link w:val="ab"/>
    <w:uiPriority w:val="29"/>
    <w:qFormat/>
    <w:rPr>
      <w:i/>
      <w:iCs/>
      <w:color w:val="404040" w:themeColor="text1" w:themeTint="BF"/>
      <w:kern w:val="2"/>
      <w:sz w:val="21"/>
      <w:szCs w:val="22"/>
    </w:rPr>
  </w:style>
  <w:style w:type="character" w:customStyle="1" w:styleId="2Char">
    <w:name w:val="제목 2 Char"/>
    <w:basedOn w:val="a0"/>
    <w:link w:val="2"/>
    <w:uiPriority w:val="9"/>
    <w:qFormat/>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81A8F-7BEF-4DED-AE41-A6750E408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11</Pages>
  <Words>959</Words>
  <Characters>5468</Characters>
  <Application>Microsoft Office Word</Application>
  <DocSecurity>0</DocSecurity>
  <Lines>45</Lines>
  <Paragraphs>12</Paragraphs>
  <ScaleCrop>false</ScaleCrop>
  <HeadingPairs>
    <vt:vector size="2" baseType="variant">
      <vt:variant>
        <vt:lpstr>제목</vt:lpstr>
      </vt:variant>
      <vt:variant>
        <vt:i4>1</vt:i4>
      </vt:variant>
    </vt:vector>
  </HeadingPairs>
  <TitlesOfParts>
    <vt:vector size="1" baseType="lpstr">
      <vt:lpstr/>
    </vt:vector>
  </TitlesOfParts>
  <Company>Microsoft</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관리자 대한화장품협회</cp:lastModifiedBy>
  <cp:revision>11</cp:revision>
  <cp:lastPrinted>2024-03-28T05:41:00Z</cp:lastPrinted>
  <dcterms:created xsi:type="dcterms:W3CDTF">2026-10-19T08:48:00Z</dcterms:created>
  <dcterms:modified xsi:type="dcterms:W3CDTF">2026-11-05T02:38:00Z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701CF9C0D0734A2FBF4E366822913957_13</vt:lpwstr>
  </property>
  <property fmtid="{D5CDD505-2E9C-101B-9397-08002B2CF9AE}" pid="4" name="KSOTemplateDocerSaveRecord">
    <vt:lpwstr>eyJoZGlkIjoiMzc5ZTU2MThkNmRiZDhiYTk2MzdjZDYxYTYzNzRmY2MiLCJ1c2VySWQiOiI0MDU1NDk1NzYifQ==</vt:lpwstr>
  </property>
</Properties>
</file>