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INCI Name Application</w:t>
      </w:r>
    </w:p>
    <w:p>
      <w:pPr>
        <w:pStyle w:val="NoSpacing"/>
        <w:rPr>
          <w:b/>
        </w:rPr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>
        <w:tc>
          <w:tcPr>
            <w:tcW w:w="4814" w:type="dxa"/>
          </w:tcPr>
          <w:p>
            <w:pPr>
              <w:pStyle w:val="NoSpacing"/>
            </w:pPr>
            <w:r>
              <w:rPr>
                <w:b/>
              </w:rPr>
              <w:t>Application Number</w:t>
            </w:r>
            <w:r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>2023-11221</w:t>
            </w:r>
          </w:p>
        </w:tc>
        <w:tc>
          <w:tcPr>
            <w:tcW w:w="4814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Date Submitted: </w:t>
            </w:r>
            <w:r>
              <w:t>9/20/2023</w:t>
            </w: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</w:pPr>
            <w:r>
              <w:rPr>
                <w:b/>
              </w:rPr>
              <w:t xml:space="preserve">Trade Name: </w:t>
            </w:r>
            <w:r>
              <w:t>SD 1982</w:t>
            </w:r>
          </w:p>
        </w:tc>
      </w:tr>
      <w:tr>
        <w:tc>
          <w:tcPr>
            <w:tcW w:w="9628" w:type="dxa"/>
          </w:tcPr>
          <w:p>
            <w:pPr>
              <w:pStyle w:val="NoSpacing"/>
            </w:pPr>
            <w:r>
              <w:rPr>
                <w:b/>
              </w:rPr>
              <w:t>Application Category:</w:t>
            </w:r>
            <w:r>
              <w:rPr>
                <w:b/>
              </w:rPr>
              <w:t xml:space="preserve"> </w:t>
            </w:r>
            <w:r>
              <w:t>Biotechnology/Biologicals, Botanicals, Misc.</w:t>
            </w: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>
        <w:tc>
          <w:tcPr>
            <w:tcW w:w="4814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>Applicant Company:</w:t>
            </w:r>
          </w:p>
          <w:p>
            <w:pPr>
              <w:pStyle w:val="NoSpacing"/>
            </w:pPr>
            <w:r>
              <w:t xml:space="preserve">leaujeuness Co., Ltd </w:t>
            </w:r>
          </w:p>
        </w:tc>
        <w:tc>
          <w:tcPr>
            <w:tcW w:w="4814" w:type="dxa"/>
          </w:tcPr>
          <w:p>
            <w:pPr>
              <w:pStyle w:val="NoSpacing"/>
            </w:pPr>
            <w:r>
              <w:rPr>
                <w:b/>
              </w:rPr>
              <w:t>Supplier Company:</w:t>
            </w:r>
            <w:r>
              <w:t xml:space="preserve"> </w:t>
            </w:r>
          </w:p>
          <w:p>
            <w:pPr>
              <w:pStyle w:val="NoSpacing"/>
            </w:pPr>
            <w:r>
              <w:t xml:space="preserve">leaujeuness Co., Ltd </w:t>
            </w:r>
          </w:p>
        </w:tc>
      </w:tr>
      <w:tr>
        <w:tc>
          <w:tcPr>
            <w:tcW w:w="4814" w:type="dxa"/>
          </w:tcPr>
          <w:p>
            <w:pPr>
              <w:pStyle w:val="NoSpacing"/>
              <w:rPr>
                <w:b/>
              </w:rPr>
            </w:pPr>
            <w:r>
              <w:t>18, Sangdae-ro 116-gil, Namsan-myeon</w:t>
            </w:r>
            <w:r>
              <w:br/>
            </w:r>
            <w:r>
              <w:t>Gyeongsan-si, Gyeongsangbuk-do, 38571</w:t>
            </w:r>
          </w:p>
        </w:tc>
        <w:tc>
          <w:tcPr>
            <w:tcW w:w="4814" w:type="dxa"/>
          </w:tcPr>
          <w:p>
            <w:pPr>
              <w:pStyle w:val="NoSpacing"/>
            </w:pPr>
            <w:r>
              <w:t>18, Sangdae-ro 116-gil, Namsan-myeon</w:t>
            </w:r>
            <w:r>
              <w:br/>
            </w:r>
            <w:r>
              <w:t>Gyeongsan-si, Gyeongsangbuk-do, 38571</w:t>
            </w:r>
          </w:p>
        </w:tc>
      </w:tr>
    </w:tbl>
    <w:p>
      <w:pPr>
        <w:pStyle w:val="NoSpacing"/>
        <w:pBdr>
          <w:bottom w:val="single" w:sz="6" w:space="1" w:color="auto"/>
        </w:pBdr>
      </w:pPr>
    </w:p>
    <w:p>
      <w:pPr>
        <w:pStyle w:val="NoSpacing"/>
        <w:pBdr>
          <w:bottom w:val="single" w:sz="6" w:space="1" w:color="auto"/>
        </w:pBdr>
      </w:pPr>
    </w:p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>Requested Nomenclature:</w:t>
            </w:r>
          </w:p>
          <w:p>
            <w:pPr>
              <w:pStyle w:val="NoSpacing"/>
            </w:pPr>
            <w:r>
              <w:t xml:space="preserve">Mineral hot spring water </w:t>
            </w: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Composition Statement: </w:t>
            </w:r>
          </w:p>
          <w:p>
            <w:pPr>
              <w:pStyle w:val="NoSpacing"/>
            </w:pPr>
            <w:r>
              <w:t xml:space="preserve">100 % Mineral hot spring water </w:t>
            </w: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>Genus, Species, Plant Part</w:t>
            </w:r>
            <w:r>
              <w:rPr>
                <w:b/>
              </w:rPr>
              <w:t xml:space="preserve">: </w:t>
            </w:r>
          </w:p>
          <w:p>
            <w:pPr>
              <w:pStyle w:val="NoSpacing"/>
            </w:pPr>
            <w:r>
              <w:t>None</w:t>
            </w: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>Type of Preparation</w:t>
            </w:r>
            <w:r>
              <w:rPr>
                <w:b/>
              </w:rPr>
              <w:t xml:space="preserve">: </w:t>
            </w:r>
          </w:p>
          <w:p>
            <w:pPr>
              <w:pStyle w:val="NoSpacing"/>
            </w:pP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Manufacturing Method: </w:t>
            </w:r>
          </w:p>
          <w:p>
            <w:pPr>
              <w:pStyle w:val="NoSpacing"/>
            </w:pPr>
            <w:r>
              <w:t>1. Mineral hot spring water is obtained from the granite bedrock layer at a depth of 500 meters underground in the Sangdae Oncheon Tourist Zone located in Sangdae-myeon, Gyeongsan-si, Gyeongsangbuk-do, South Korea, using a pump.</w:t>
            </w:r>
            <w:r>
              <w:br/>
            </w:r>
            <w:r>
              <w:t>2. It is filtered using a filter containing activated charcoal.</w:t>
            </w:r>
            <w:r>
              <w:br/>
            </w:r>
            <w:r>
              <w:t>3. The filtrate is used as a cosmetic ingredient.</w:t>
            </w:r>
            <w:r>
              <w:br/>
            </w: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>
        <w:tc>
          <w:tcPr>
            <w:tcW w:w="4814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Registry Numbers: </w:t>
            </w:r>
          </w:p>
          <w:p>
            <w:pPr>
              <w:pStyle w:val="NoSpacing"/>
            </w:pPr>
          </w:p>
        </w:tc>
        <w:tc>
          <w:tcPr>
            <w:tcW w:w="4814" w:type="dxa"/>
          </w:tcPr>
          <w:p>
            <w:pPr>
              <w:pStyle w:val="NoSpacing"/>
            </w:pP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</w:pP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</w:pP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14" w:type="dxa"/>
        </w:trPr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>Solvents/Diluents:</w:t>
            </w:r>
          </w:p>
          <w:p>
            <w:pPr>
              <w:pStyle w:val="NoSpacing"/>
            </w:pPr>
            <w:r>
              <w:t>None</w:t>
            </w: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 xml:space="preserve">Reference: </w:t>
            </w:r>
          </w:p>
          <w:p>
            <w:pPr>
              <w:pStyle w:val="NoSpacing"/>
            </w:pPr>
          </w:p>
        </w:tc>
      </w:tr>
    </w:tbl>
    <w:p>
      <w:pPr>
        <w:pStyle w:val="NoSpacing"/>
      </w:pPr>
    </w:p>
    <w:tbl>
      <w:tblPr>
        <w:tblStyle w:val="TableGrid"/>
        <w:tblW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  <w:rPr>
                <w:b/>
              </w:rPr>
            </w:pPr>
            <w:r>
              <w:rPr>
                <w:b/>
              </w:rPr>
              <w:t>Additional Information:</w:t>
            </w:r>
          </w:p>
          <w:p>
            <w:pPr>
              <w:pStyle w:val="NoSpacing"/>
            </w:pPr>
            <w:r>
              <w:t>Skin Moisturizaing, Skin Brightening, Improvement of Skin Barrier Function, Wound Healing, Anti-Inflammation</w:t>
            </w:r>
            <w:r>
              <w:br/>
            </w:r>
          </w:p>
        </w:tc>
      </w:tr>
    </w:tbl>
    <w:p>
      <w:pPr>
        <w:pStyle w:val="NoSpacing"/>
      </w:pPr>
    </w:p>
    <w:p>
      <w:pPr>
        <w:pStyle w:val="NoSpacing"/>
        <w:rPr>
          <w:b/>
        </w:rPr>
      </w:pPr>
      <w:r>
        <w:rPr>
          <w:b/>
        </w:rPr>
        <w:t xml:space="preserve"> </w:t>
      </w:r>
      <w:r>
        <w:rPr>
          <w:b/>
        </w:rPr>
        <w:t xml:space="preserve">Reported Functions: </w:t>
      </w:r>
    </w:p>
    <w:tbl>
      <w:tblPr>
        <w:tblStyle w:val="TableGrid"/>
        <w:tblW w:w="0" w:type="auto"/>
        <w:tblBorders>
          <w:top w:val="single" w:sz="4" w:space="0" w:color="FFFFFF" w:themeColor="lt1"/>
          <w:left w:val="single" w:sz="4" w:space="0" w:color="FFFFFF" w:themeColor="lt1"/>
          <w:bottom w:val="single" w:sz="4" w:space="0" w:color="FFFFFF" w:themeColor="lt1"/>
          <w:right w:val="single" w:sz="4" w:space="0" w:color="FFFFFF" w:themeColor="lt1"/>
          <w:insideH w:val="single" w:sz="4" w:space="0" w:color="FFFFFF" w:themeColor="lt1"/>
          <w:insideV w:val="single" w:sz="4" w:space="0" w:color="FFFFFF" w:themeColor="lt1"/>
        </w:tblBorders>
        <w:tblLook w:val="04A0" w:firstRow="1" w:lastRow="0" w:firstColumn="1" w:lastColumn="0" w:noHBand="0" w:noVBand="1"/>
      </w:tblPr>
      <w:tblGrid>
        <w:gridCol w:w="9628"/>
      </w:tblGrid>
      <w:tr>
        <w:tc>
          <w:tcPr>
            <w:tcW w:w="9628" w:type="dxa"/>
          </w:tcPr>
          <w:p>
            <w:pPr>
              <w:pStyle w:val="NoSpacing"/>
            </w:pPr>
            <w:r>
              <w:t>Antioxidants</w:t>
            </w:r>
          </w:p>
        </w:tc>
      </w:tr>
      <w:tr>
        <w:tc>
          <w:tcPr>
            <w:tcW w:w="9628" w:type="dxa"/>
          </w:tcPr>
          <w:p>
            <w:pPr>
              <w:pStyle w:val="NoSpacing"/>
            </w:pPr>
            <w:r>
              <w:t>Antimicrobial Agents</w:t>
            </w:r>
          </w:p>
        </w:tc>
      </w:tr>
      <w:tr>
        <w:tc>
          <w:tcPr>
            <w:tcW w:w="9628" w:type="dxa"/>
          </w:tcPr>
          <w:p>
            <w:pPr>
              <w:pStyle w:val="NoSpacing"/>
            </w:pPr>
            <w:r>
              <w:t>Skin Protectants</w:t>
            </w:r>
          </w:p>
        </w:tc>
      </w:tr>
      <w:tr>
        <w:tc>
          <w:tcPr>
            <w:tcW w:w="9628" w:type="dxa"/>
          </w:tcPr>
          <w:p>
            <w:pPr>
              <w:pStyle w:val="NoSpacing"/>
            </w:pPr>
            <w:r>
              <w:t>Skin-Conditioning Agents - Humectant</w:t>
            </w:r>
          </w:p>
        </w:tc>
      </w:tr>
      <w:tr>
        <w:tc>
          <w:tcPr>
            <w:tcW w:w="9628" w:type="dxa"/>
          </w:tcPr>
          <w:p>
            <w:pPr>
              <w:pStyle w:val="NoSpacing"/>
            </w:pPr>
            <w:r>
              <w:t>Antifungal Agents</w:t>
            </w:r>
          </w:p>
        </w:tc>
      </w:tr>
      <w:tr>
        <w:tc>
          <w:tcPr>
            <w:tcW w:w="9628" w:type="dxa"/>
          </w:tcPr>
          <w:p>
            <w:pPr>
              <w:pStyle w:val="NoSpacing"/>
            </w:pPr>
            <w:r>
              <w:t>Drug Astringents - Skin Protectant Drugs</w:t>
            </w:r>
          </w:p>
        </w:tc>
      </w:tr>
    </w:tbl>
    <w:p>
      <w:r>
        <w:br w:type="page"/>
      </w:r>
    </w:p>
    <w:p>
      <w:pPr>
        <w:rPr>
          <w:b/>
        </w:rPr>
      </w:pPr>
      <w:r>
        <w:rPr>
          <w:b/>
        </w:rPr>
        <w:t>INCI Application Comments and Notes</w:t>
      </w:r>
      <w:r>
        <w:rPr>
          <w:b/>
        </w:rPr>
        <w:t xml:space="preserve">: </w:t>
      </w:r>
    </w:p>
    <w:tbl>
      <w:tblPr>
        <w:tblStyle w:val="TableGrid"/>
        <w:tblW w:w="8725" w:type="dxa"/>
        <w:tblLook w:val="04A0" w:firstRow="1" w:lastRow="0" w:firstColumn="1" w:lastColumn="0" w:noHBand="0" w:noVBand="1"/>
        <w:tblLayout w:type="fixed"/>
      </w:tblPr>
      <w:tblGrid>
        <w:gridCol w:w="985"/>
        <w:gridCol w:w="1170"/>
        <w:gridCol w:w="1350"/>
        <w:gridCol w:w="2970"/>
        <w:gridCol w:w="1080"/>
        <w:gridCol w:w="1170"/>
      </w:tblGrid>
      <w:tr>
        <w:tc>
          <w:tcPr>
            <w:tcW w:w="985" w:type="dxa"/>
          </w:tcPr>
          <w:p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Date </w:t>
            </w:r>
          </w:p>
        </w:tc>
        <w:tc>
          <w:tcPr>
            <w:tcW w:w="1170" w:type="dxa"/>
          </w:tcPr>
          <w:p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Type</w:t>
            </w:r>
          </w:p>
        </w:tc>
        <w:tc>
          <w:tcPr>
            <w:tcW w:w="1350" w:type="dxa"/>
          </w:tcPr>
          <w:p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Subject</w:t>
            </w:r>
          </w:p>
        </w:tc>
        <w:tc>
          <w:tcPr>
            <w:tcW w:w="2970" w:type="dxa"/>
          </w:tcPr>
          <w:p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Comments</w:t>
            </w:r>
          </w:p>
        </w:tc>
        <w:tc>
          <w:tcPr>
            <w:tcW w:w="1080" w:type="dxa"/>
          </w:tcPr>
          <w:p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Party</w:t>
            </w:r>
          </w:p>
        </w:tc>
        <w:tc>
          <w:tcPr>
            <w:tcW w:w="1170" w:type="dxa"/>
          </w:tcPr>
          <w:p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Contains Attachment</w:t>
            </w:r>
          </w:p>
        </w:tc>
      </w:tr>
    </w:tbl>
    <w:p>
      <w:pPr>
        <w:pStyle w:val="NoSpacing"/>
      </w:pPr>
    </w:p>
    <w:sectPr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4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table" w:styleId="TableGrid">
    <w:name w:val="Table Grid"/>
    <w:uiPriority w:val="39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basedOn w:val="DefaultParagraphFont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docParts>
    <w:docPart>
      <w:docPartPr>
        <w:name w:val="15196BF653B449D6B6F7D4DBFF541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15196BF653B449D6B6F7D4DBFF541A6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0E1C9FEC8A49A2B1753C9C684D4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9A0E1C9FEC8A49A2B1753C9C684D450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815EE18D644C07B36C2ADDC635E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CA815EE18D644C07B36C2ADDC635E4A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EE6822007F4FA5AF70509741E9B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ADEE6822007F4FA5AF70509741E9B029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3FA6FA15B44E3F887AC4B3A9848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DD3FA6FA15B44E3F887AC4B3A984838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BBD9997A964D928E31411AD1230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9CBBD9997A964D928E31411AD12305B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296852CAF44A91B69B5B8E50139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CA296852CAF44A91B69B5B8E5013996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EF47109574421B8E66B5D5AF96A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41EF47109574421B8E66B5D5AF96A1F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B1D27C4DCD4E0398EBAAC20CEB0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21B1D27C4DCD4E0398EBAAC20CEB0416"/>
          </w:pPr>
          <w:r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1DC0566C7CF4DBBA113CB9724E69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A1DC0566C7CF4DBBA113CB9724E6912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97BDEF9B344FF194FBD6B8D61B9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9C97BDEF9B344FF194FBD6B8D61B9EC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4BBDCEDF4B46DBA96247C029901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C24BBDCEDF4B46DBA96247C029901B99"/>
          </w:pPr>
          <w:r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EC4701AD1BA405392B7DE0EB79B2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FEC4701AD1BA405392B7DE0EB79B2B46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24E6B03F2747D88BC60D1978C73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7C24E6B03F2747D88BC60D1978C7307D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56138B2DA84B198BAA16CFF9D49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Style w:val="1A56138B2DA84B198BAA16CFF9D4922C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basedOn w:val="DefaultParagraphFont"/>
    <w:semiHidden/>
    <w:rPr>
      <w:color w:val="808080"/>
    </w:rPr>
  </w:style>
  <w:style w:type="paragraph" w:customStyle="1" w:styleId="A1DC0566C7CF4DBBA113CB9724E69120">
    <w:name w:val="A1DC0566C7CF4DBBA113CB9724E69120"/>
  </w:style>
  <w:style w:type="paragraph" w:customStyle="1" w:styleId="CA296852CAF44A91B69B5B8E50139963">
    <w:name w:val="CA296852CAF44A91B69B5B8E50139963"/>
  </w:style>
  <w:style w:type="paragraph" w:customStyle="1" w:styleId="15196BF653B449D6B6F7D4DBFF541A65">
    <w:name w:val="15196BF653B449D6B6F7D4DBFF541A65"/>
  </w:style>
  <w:style w:type="paragraph" w:customStyle="1" w:styleId="41EF47109574421B8E66B5D5AF96A1F4">
    <w:name w:val="41EF47109574421B8E66B5D5AF96A1F4"/>
  </w:style>
  <w:style w:type="paragraph" w:customStyle="1" w:styleId="7C24E6B03F2747D88BC60D1978C7307D">
    <w:name w:val="7C24E6B03F2747D88BC60D1978C7307D"/>
  </w:style>
  <w:style w:type="paragraph" w:customStyle="1" w:styleId="9CBBD9997A964D928E31411AD12305B4">
    <w:name w:val="9CBBD9997A964D928E31411AD12305B4"/>
  </w:style>
  <w:style w:type="paragraph" w:customStyle="1" w:styleId="9A0E1C9FEC8A49A2B1753C9C684D4503">
    <w:name w:val="9A0E1C9FEC8A49A2B1753C9C684D4503"/>
  </w:style>
  <w:style w:type="paragraph" w:customStyle="1" w:styleId="1A56138B2DA84B198BAA16CFF9D4922C">
    <w:name w:val="1A56138B2DA84B198BAA16CFF9D4922C"/>
  </w:style>
  <w:style w:type="paragraph" w:customStyle="1" w:styleId="FC0C1F8C375645C0911D01758410C9F1">
    <w:name w:val="FC0C1F8C375645C0911D01758410C9F1"/>
  </w:style>
  <w:style w:type="paragraph" w:customStyle="1" w:styleId="29FBC445B6F34AF4AF0033AAE139F833">
    <w:name w:val="29FBC445B6F34AF4AF0033AAE139F833"/>
  </w:style>
  <w:style w:type="paragraph" w:customStyle="1" w:styleId="ADEE6822007F4FA5AF70509741E9B029">
    <w:name w:val="ADEE6822007F4FA5AF70509741E9B029"/>
  </w:style>
  <w:style w:type="paragraph" w:customStyle="1" w:styleId="88ACC30D9F5A4040B668B6AD61C72023">
    <w:name w:val="88ACC30D9F5A4040B668B6AD61C72023"/>
  </w:style>
  <w:style w:type="paragraph" w:customStyle="1" w:styleId="CA062FF501A24A61A26ACC09AF4C7463">
    <w:name w:val="CA062FF501A24A61A26ACC09AF4C7463"/>
  </w:style>
  <w:style w:type="paragraph" w:customStyle="1" w:styleId="4B94044DEA904D5CA4B0E2EC21ADA74A">
    <w:name w:val="4B94044DEA904D5CA4B0E2EC21ADA74A"/>
  </w:style>
  <w:style w:type="paragraph" w:customStyle="1" w:styleId="3BEEC2BB94354942A54985A522601DD5">
    <w:name w:val="3BEEC2BB94354942A54985A522601DD5"/>
  </w:style>
  <w:style w:type="paragraph" w:customStyle="1" w:styleId="FEC4701AD1BA405392B7DE0EB79B2B46">
    <w:name w:val="FEC4701AD1BA405392B7DE0EB79B2B46"/>
  </w:style>
  <w:style w:type="paragraph" w:customStyle="1" w:styleId="9C97BDEF9B344FF194FBD6B8D61B9ECD">
    <w:name w:val="9C97BDEF9B344FF194FBD6B8D61B9ECD"/>
  </w:style>
  <w:style w:type="paragraph" w:customStyle="1" w:styleId="C24BBDCEDF4B46DBA96247C029901B99">
    <w:name w:val="C24BBDCEDF4B46DBA96247C029901B99"/>
  </w:style>
  <w:style w:type="paragraph" w:customStyle="1" w:styleId="CA815EE18D644C07B36C2ADDC635E4A0">
    <w:name w:val="CA815EE18D644C07B36C2ADDC635E4A0"/>
  </w:style>
  <w:style w:type="paragraph" w:customStyle="1" w:styleId="77964F752B7D47B4BF0A0FB66ADCA561">
    <w:name w:val="77964F752B7D47B4BF0A0FB66ADCA561"/>
  </w:style>
  <w:style w:type="paragraph" w:customStyle="1" w:styleId="E806388492E740B5AF3AA5E666B4BE6B">
    <w:name w:val="E806388492E740B5AF3AA5E666B4BE6B"/>
  </w:style>
  <w:style w:type="paragraph" w:customStyle="1" w:styleId="62F4BAA1990E4665AD6F430ABE209015">
    <w:name w:val="62F4BAA1990E4665AD6F430ABE209015"/>
  </w:style>
  <w:style w:type="paragraph" w:customStyle="1" w:styleId="93BA3DB945124AC6ABBCBF98DC6E7EE2">
    <w:name w:val="93BA3DB945124AC6ABBCBF98DC6E7EE2"/>
  </w:style>
  <w:style w:type="paragraph" w:customStyle="1" w:styleId="93D6C85E25C2407E97B27DBA0A9375F3">
    <w:name w:val="93D6C85E25C2407E97B27DBA0A9375F3"/>
  </w:style>
  <w:style w:type="paragraph" w:customStyle="1" w:styleId="51EF53458CCE46FF93AE7376142AD0D2">
    <w:name w:val="51EF53458CCE46FF93AE7376142AD0D2"/>
  </w:style>
  <w:style w:type="paragraph" w:customStyle="1" w:styleId="D07F11C03C8242DCA86ED7ACE6213ED3">
    <w:name w:val="D07F11C03C8242DCA86ED7ACE6213ED3"/>
  </w:style>
  <w:style w:type="paragraph" w:customStyle="1" w:styleId="263FF596511B4DF39D7B6F2BDE5F628A">
    <w:name w:val="263FF596511B4DF39D7B6F2BDE5F628A"/>
  </w:style>
  <w:style w:type="paragraph" w:customStyle="1" w:styleId="F2E6DEC8429F4EB9B68C89421E267E5B">
    <w:name w:val="F2E6DEC8429F4EB9B68C89421E267E5B"/>
  </w:style>
  <w:style w:type="paragraph" w:customStyle="1" w:styleId="0BC692C76D84428B84BAB323A8A80A40">
    <w:name w:val="0BC692C76D84428B84BAB323A8A80A40"/>
  </w:style>
  <w:style w:type="paragraph" w:customStyle="1" w:styleId="ACEBF8545D864293BA25FCD39D0F27C1">
    <w:name w:val="ACEBF8545D864293BA25FCD39D0F27C1"/>
  </w:style>
  <w:style w:type="paragraph" w:customStyle="1" w:styleId="9A2F101E528B43FFB0174584D76DF7B0">
    <w:name w:val="9A2F101E528B43FFB0174584D76DF7B0"/>
  </w:style>
  <w:style w:type="paragraph" w:customStyle="1" w:styleId="3B7339438909419EB9A231C24D330E15">
    <w:name w:val="3B7339438909419EB9A231C24D330E15"/>
  </w:style>
  <w:style w:type="paragraph" w:customStyle="1" w:styleId="8DF3948768C447468688F5F0A4D9680F">
    <w:name w:val="8DF3948768C447468688F5F0A4D9680F"/>
  </w:style>
  <w:style w:type="paragraph" w:customStyle="1" w:styleId="A13F103015DA414EA8D3525752635074">
    <w:name w:val="A13F103015DA414EA8D3525752635074"/>
  </w:style>
  <w:style w:type="paragraph" w:customStyle="1" w:styleId="C077F1C987794766A613FD67EDF83A8E">
    <w:name w:val="C077F1C987794766A613FD67EDF83A8E"/>
  </w:style>
  <w:style w:type="paragraph" w:customStyle="1" w:styleId="0532079C6CD0429C90231077CBECE252">
    <w:name w:val="0532079C6CD0429C90231077CBECE252"/>
  </w:style>
  <w:style w:type="paragraph" w:customStyle="1" w:styleId="80644A287BFF4F039EA065F80EB5031F">
    <w:name w:val="80644A287BFF4F039EA065F80EB5031F"/>
  </w:style>
  <w:style w:type="paragraph" w:customStyle="1" w:styleId="98CAB4172FA046D5AA8A4151AE484D6D">
    <w:name w:val="98CAB4172FA046D5AA8A4151AE484D6D"/>
  </w:style>
  <w:style w:type="paragraph" w:customStyle="1" w:styleId="ECF8E1FABA8D4BFCA4BC7A39F79D724A">
    <w:name w:val="ECF8E1FABA8D4BFCA4BC7A39F79D724A"/>
  </w:style>
  <w:style w:type="paragraph" w:customStyle="1" w:styleId="78D0FABC955A4DE19131DC5B826FE295">
    <w:name w:val="78D0FABC955A4DE19131DC5B826FE295"/>
  </w:style>
  <w:style w:type="paragraph" w:customStyle="1" w:styleId="21B1D27C4DCD4E0398EBAAC20CEB0416">
    <w:name w:val="21B1D27C4DCD4E0398EBAAC20CEB0416"/>
  </w:style>
  <w:style w:type="paragraph" w:customStyle="1" w:styleId="DD3FA6FA15B44E3F887AC4B3A9848385">
    <w:name w:val="DD3FA6FA15B44E3F887AC4B3A984838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TTTH-MAIN</dc:creator>
  <cp:keywords/>
  <dc:description>Created by the Microsoft Dynamics NAV report engine.</dc:description>
  <cp:lastModifiedBy>TTTH-MAIN</cp:lastModifiedBy>
  <cp:revision>1</cp:revision>
  <dcterms:modified xsi:type="dcterms:W3CDTF">2024-05-17T07:57:06Z</dcterms:modified>
  <cp:version>1100.0100.01</cp:version>
</cp:coreProperties>
</file>